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eastAsia="宋体" w:cs="Times New Roman"/>
          <w:b/>
          <w:spacing w:val="-20"/>
          <w:sz w:val="52"/>
          <w:szCs w:val="52"/>
        </w:rPr>
      </w:pPr>
      <w:r>
        <w:rPr>
          <w:rFonts w:hint="eastAsia" w:ascii="宋体" w:hAnsi="宋体" w:eastAsia="宋体" w:cs="Times New Roman"/>
          <w:b/>
          <w:spacing w:val="-20"/>
          <w:sz w:val="52"/>
          <w:szCs w:val="52"/>
        </w:rPr>
        <w:t>国投新材料有限公司</w:t>
      </w:r>
    </w:p>
    <w:p>
      <w:pPr>
        <w:snapToGrid w:val="0"/>
        <w:spacing w:line="360" w:lineRule="auto"/>
        <w:jc w:val="center"/>
        <w:rPr>
          <w:rFonts w:hint="eastAsia" w:ascii="宋体" w:hAnsi="宋体" w:eastAsia="宋体" w:cs="Times New Roman"/>
          <w:b/>
          <w:spacing w:val="-20"/>
          <w:sz w:val="52"/>
          <w:szCs w:val="52"/>
          <w:lang w:val="en-US" w:eastAsia="zh-CN"/>
        </w:rPr>
      </w:pPr>
      <w:r>
        <w:rPr>
          <w:rFonts w:hint="eastAsia" w:ascii="宋体" w:hAnsi="宋体" w:cs="Times New Roman"/>
          <w:b/>
          <w:spacing w:val="-20"/>
          <w:sz w:val="52"/>
          <w:szCs w:val="52"/>
          <w:lang w:val="en-US" w:eastAsia="zh-CN"/>
        </w:rPr>
        <w:t>智能金属导体电阻率测量仪</w:t>
      </w:r>
      <w:r>
        <w:rPr>
          <w:rFonts w:hint="eastAsia" w:ascii="宋体" w:hAnsi="宋体" w:cs="Times New Roman"/>
          <w:b/>
          <w:spacing w:val="-20"/>
          <w:sz w:val="52"/>
          <w:szCs w:val="52"/>
          <w:lang w:eastAsia="zh-CN"/>
        </w:rPr>
        <w:t>购置</w:t>
      </w:r>
    </w:p>
    <w:p>
      <w:pPr>
        <w:snapToGrid w:val="0"/>
        <w:spacing w:line="360" w:lineRule="auto"/>
        <w:jc w:val="center"/>
        <w:rPr>
          <w:rFonts w:hint="eastAsia" w:ascii="宋体" w:hAnsi="宋体" w:eastAsia="宋体" w:cs="Times New Roman"/>
          <w:b/>
          <w:spacing w:val="-20"/>
          <w:sz w:val="52"/>
          <w:szCs w:val="52"/>
        </w:rPr>
      </w:pPr>
      <w:r>
        <w:rPr>
          <w:rFonts w:hint="eastAsia" w:ascii="宋体" w:hAnsi="宋体" w:cs="Times New Roman"/>
          <w:b/>
          <w:spacing w:val="-20"/>
          <w:sz w:val="52"/>
          <w:szCs w:val="52"/>
          <w:lang w:val="en-US" w:eastAsia="zh-CN"/>
        </w:rPr>
        <w:t>招投</w:t>
      </w:r>
      <w:r>
        <w:rPr>
          <w:rFonts w:hint="eastAsia" w:ascii="宋体" w:hAnsi="宋体" w:eastAsia="宋体" w:cs="Times New Roman"/>
          <w:b/>
          <w:spacing w:val="-20"/>
          <w:sz w:val="52"/>
          <w:szCs w:val="52"/>
          <w:lang w:eastAsia="zh-CN"/>
        </w:rPr>
        <w:t>标函</w:t>
      </w:r>
    </w:p>
    <w:p>
      <w:pPr>
        <w:snapToGrid w:val="0"/>
        <w:spacing w:line="360" w:lineRule="auto"/>
        <w:jc w:val="center"/>
        <w:rPr>
          <w:rFonts w:hint="default" w:ascii="宋体" w:hAnsi="宋体" w:eastAsia="宋体"/>
          <w:b/>
          <w:sz w:val="36"/>
          <w:szCs w:val="36"/>
          <w:lang w:val="en-US" w:eastAsia="zh-CN"/>
        </w:rPr>
      </w:pPr>
      <w:r>
        <w:rPr>
          <w:rFonts w:hint="eastAsia" w:ascii="宋体" w:hAnsi="宋体"/>
          <w:b/>
          <w:spacing w:val="-20"/>
          <w:sz w:val="28"/>
          <w:szCs w:val="28"/>
        </w:rPr>
        <w:t>招标编号：</w:t>
      </w:r>
      <w:r>
        <w:rPr>
          <w:rFonts w:hint="eastAsia" w:ascii="宋体" w:hAnsi="宋体"/>
          <w:b/>
          <w:spacing w:val="-20"/>
          <w:sz w:val="28"/>
          <w:szCs w:val="28"/>
        </w:rPr>
        <w:tab/>
      </w:r>
      <w:r>
        <w:rPr>
          <w:rFonts w:ascii="宋体" w:hAnsi="宋体" w:cs="仿宋"/>
          <w:sz w:val="28"/>
          <w:szCs w:val="28"/>
        </w:rPr>
        <w:t xml:space="preserve"> </w:t>
      </w:r>
      <w:r>
        <w:rPr>
          <w:rFonts w:hint="eastAsia" w:ascii="宋体" w:hAnsi="宋体" w:eastAsia="宋体" w:cs="Times New Roman"/>
          <w:b/>
          <w:spacing w:val="-20"/>
          <w:sz w:val="28"/>
          <w:szCs w:val="28"/>
          <w:lang w:val="en-US" w:eastAsia="zh-CN"/>
        </w:rPr>
        <w:t>GTXCL</w:t>
      </w:r>
      <w:r>
        <w:rPr>
          <w:rFonts w:hint="eastAsia" w:ascii="宋体" w:hAnsi="宋体"/>
          <w:b/>
          <w:spacing w:val="-20"/>
          <w:sz w:val="28"/>
          <w:szCs w:val="28"/>
          <w:lang w:val="en-US" w:eastAsia="zh-CN"/>
        </w:rPr>
        <w:t>-20220926</w:t>
      </w:r>
      <w:bookmarkStart w:id="0" w:name="_GoBack"/>
      <w:bookmarkEnd w:id="0"/>
    </w:p>
    <w:p>
      <w:pPr>
        <w:numPr>
          <w:ilvl w:val="0"/>
          <w:numId w:val="0"/>
        </w:numPr>
        <w:snapToGrid w:val="0"/>
        <w:spacing w:line="360" w:lineRule="auto"/>
        <w:ind w:firstLine="2168" w:firstLineChars="600"/>
        <w:jc w:val="both"/>
        <w:outlineLvl w:val="0"/>
        <w:rPr>
          <w:rFonts w:hint="eastAsia" w:ascii="宋体" w:hAnsi="宋体"/>
          <w:sz w:val="20"/>
        </w:rPr>
      </w:pPr>
      <w:r>
        <w:rPr>
          <w:rFonts w:hint="eastAsia" w:ascii="宋体" w:hAnsi="宋体"/>
          <w:b/>
          <w:sz w:val="36"/>
          <w:szCs w:val="36"/>
          <w:lang w:val="en-US" w:eastAsia="zh-CN"/>
        </w:rPr>
        <w:t xml:space="preserve">一、   </w:t>
      </w:r>
      <w:r>
        <w:rPr>
          <w:rFonts w:hint="eastAsia" w:ascii="宋体" w:hAnsi="宋体"/>
          <w:b/>
          <w:sz w:val="36"/>
          <w:szCs w:val="36"/>
        </w:rPr>
        <w:t>投标须知</w:t>
      </w:r>
    </w:p>
    <w:p>
      <w:pPr>
        <w:snapToGrid w:val="0"/>
        <w:spacing w:line="360" w:lineRule="auto"/>
        <w:jc w:val="both"/>
        <w:rPr>
          <w:rFonts w:hint="eastAsia" w:ascii="宋体" w:hAnsi="宋体" w:eastAsia="宋体" w:cs="Times New Roman"/>
          <w:sz w:val="28"/>
          <w:szCs w:val="28"/>
        </w:rPr>
      </w:pPr>
      <w:r>
        <w:rPr>
          <w:rFonts w:hint="eastAsia" w:ascii="宋体" w:hAnsi="宋体" w:eastAsia="宋体" w:cs="Times New Roman"/>
          <w:sz w:val="28"/>
          <w:szCs w:val="28"/>
        </w:rPr>
        <w:t>名称：</w:t>
      </w:r>
      <w:r>
        <w:rPr>
          <w:rFonts w:hint="eastAsia" w:ascii="宋体" w:hAnsi="宋体" w:eastAsia="宋体" w:cs="Times New Roman"/>
          <w:sz w:val="28"/>
          <w:szCs w:val="28"/>
          <w:u w:val="single"/>
          <w:lang w:eastAsia="zh-CN"/>
        </w:rPr>
        <w:t>盐城国投新材料有限公司</w:t>
      </w:r>
      <w:r>
        <w:rPr>
          <w:rFonts w:hint="eastAsia" w:ascii="宋体" w:hAnsi="宋体" w:eastAsia="宋体" w:cs="Times New Roman"/>
          <w:sz w:val="28"/>
          <w:szCs w:val="28"/>
          <w:u w:val="single"/>
          <w:lang w:val="en-US" w:eastAsia="zh-CN"/>
        </w:rPr>
        <w:t>智能金属导体电阻率测量仪</w:t>
      </w:r>
      <w:r>
        <w:rPr>
          <w:rFonts w:hint="eastAsia" w:ascii="宋体" w:hAnsi="宋体" w:cs="Times New Roman"/>
          <w:sz w:val="28"/>
          <w:szCs w:val="28"/>
          <w:u w:val="single"/>
          <w:lang w:eastAsia="zh-CN"/>
        </w:rPr>
        <w:t>购置事宜</w:t>
      </w:r>
      <w:r>
        <w:rPr>
          <w:rFonts w:hint="eastAsia" w:ascii="宋体" w:hAnsi="宋体" w:cs="Times New Roman"/>
          <w:sz w:val="28"/>
          <w:szCs w:val="28"/>
          <w:u w:val="single"/>
          <w:lang w:val="en-US" w:eastAsia="zh-CN"/>
        </w:rPr>
        <w:t xml:space="preserve">   </w:t>
      </w:r>
      <w:r>
        <w:rPr>
          <w:rFonts w:hint="eastAsia" w:ascii="宋体" w:hAnsi="宋体" w:eastAsia="宋体" w:cs="Times New Roman"/>
          <w:sz w:val="28"/>
          <w:szCs w:val="28"/>
        </w:rPr>
        <w:t xml:space="preserve">       </w:t>
      </w:r>
    </w:p>
    <w:p>
      <w:pPr>
        <w:rPr>
          <w:rFonts w:hint="eastAsia" w:ascii="宋体" w:hAnsi="宋体" w:eastAsia="宋体" w:cs="Times New Roman"/>
          <w:sz w:val="28"/>
          <w:szCs w:val="28"/>
          <w:u w:val="single"/>
          <w:lang w:val="en-US" w:eastAsia="zh-CN"/>
        </w:rPr>
      </w:pPr>
      <w:r>
        <w:rPr>
          <w:rFonts w:hint="eastAsia" w:ascii="宋体" w:hAnsi="宋体" w:eastAsia="宋体" w:cs="Times New Roman"/>
          <w:sz w:val="28"/>
          <w:szCs w:val="28"/>
        </w:rPr>
        <w:t>地址：</w:t>
      </w:r>
      <w:r>
        <w:rPr>
          <w:rFonts w:hint="eastAsia" w:ascii="宋体" w:hAnsi="宋体" w:eastAsia="宋体" w:cs="Times New Roman"/>
          <w:sz w:val="28"/>
          <w:szCs w:val="28"/>
          <w:u w:val="single"/>
          <w:lang w:eastAsia="zh-CN"/>
        </w:rPr>
        <w:t>江苏省盐城市国家经济开发区乌江路</w:t>
      </w:r>
      <w:r>
        <w:rPr>
          <w:rFonts w:hint="eastAsia" w:ascii="宋体" w:hAnsi="宋体" w:eastAsia="宋体" w:cs="Times New Roman"/>
          <w:sz w:val="28"/>
          <w:szCs w:val="28"/>
          <w:u w:val="single"/>
          <w:lang w:val="en-US" w:eastAsia="zh-CN"/>
        </w:rPr>
        <w:t>36号</w:t>
      </w:r>
    </w:p>
    <w:p>
      <w:pPr>
        <w:rPr>
          <w:rFonts w:hint="eastAsia" w:ascii="宋体" w:hAnsi="宋体" w:eastAsia="宋体" w:cs="Times New Roman"/>
          <w:sz w:val="28"/>
          <w:szCs w:val="28"/>
        </w:rPr>
      </w:pPr>
      <w:r>
        <w:rPr>
          <w:rFonts w:hint="eastAsia" w:ascii="宋体" w:hAnsi="宋体" w:eastAsia="宋体" w:cs="Times New Roman"/>
          <w:sz w:val="28"/>
          <w:szCs w:val="28"/>
        </w:rPr>
        <w:t>日程安排：</w:t>
      </w:r>
    </w:p>
    <w:p>
      <w:pPr>
        <w:rPr>
          <w:rFonts w:hint="eastAsia" w:ascii="宋体" w:hAnsi="宋体" w:eastAsia="宋体" w:cs="Times New Roman"/>
          <w:sz w:val="28"/>
          <w:szCs w:val="28"/>
        </w:rPr>
      </w:pPr>
      <w:r>
        <w:rPr>
          <w:rFonts w:hint="eastAsia" w:ascii="宋体" w:hAnsi="宋体" w:eastAsia="宋体" w:cs="Times New Roman"/>
          <w:sz w:val="28"/>
          <w:szCs w:val="28"/>
        </w:rPr>
        <w:t>招标文件的领取形式：</w:t>
      </w:r>
      <w:r>
        <w:rPr>
          <w:rFonts w:hint="eastAsia" w:ascii="宋体" w:hAnsi="宋体" w:cs="Times New Roman"/>
          <w:sz w:val="28"/>
          <w:szCs w:val="28"/>
          <w:lang w:val="en-US" w:eastAsia="zh-CN"/>
        </w:rPr>
        <w:t>网上</w:t>
      </w:r>
      <w:r>
        <w:rPr>
          <w:rFonts w:hint="eastAsia" w:ascii="宋体" w:hAnsi="宋体" w:eastAsia="宋体" w:cs="Times New Roman"/>
          <w:sz w:val="28"/>
          <w:szCs w:val="28"/>
        </w:rPr>
        <w:t xml:space="preserve">招标 </w:t>
      </w:r>
    </w:p>
    <w:p>
      <w:pP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具体经办人电话：</w:t>
      </w:r>
      <w:r>
        <w:rPr>
          <w:rFonts w:hint="eastAsia" w:ascii="宋体" w:hAnsi="宋体" w:eastAsia="宋体" w:cs="Times New Roman"/>
          <w:sz w:val="28"/>
          <w:szCs w:val="28"/>
          <w:lang w:eastAsia="zh-CN"/>
        </w:rPr>
        <w:t>陆</w:t>
      </w:r>
      <w:r>
        <w:rPr>
          <w:rFonts w:hint="eastAsia" w:ascii="宋体" w:hAnsi="宋体" w:cs="Times New Roman"/>
          <w:sz w:val="28"/>
          <w:szCs w:val="28"/>
          <w:lang w:val="en-US" w:eastAsia="zh-CN"/>
        </w:rPr>
        <w:t>先生</w:t>
      </w:r>
      <w:r>
        <w:rPr>
          <w:rFonts w:hint="eastAsia" w:ascii="宋体" w:hAnsi="宋体" w:eastAsia="宋体" w:cs="Times New Roman"/>
          <w:sz w:val="28"/>
          <w:szCs w:val="28"/>
        </w:rPr>
        <w:t xml:space="preserve"> </w:t>
      </w:r>
      <w:r>
        <w:rPr>
          <w:rFonts w:hint="eastAsia" w:ascii="宋体" w:hAnsi="宋体" w:eastAsia="宋体" w:cs="Times New Roman"/>
          <w:sz w:val="28"/>
          <w:szCs w:val="28"/>
          <w:lang w:val="en-US" w:eastAsia="zh-CN"/>
        </w:rPr>
        <w:t>15050666298</w:t>
      </w:r>
    </w:p>
    <w:p>
      <w:pPr>
        <w:rPr>
          <w:rFonts w:hint="eastAsia" w:ascii="宋体" w:hAnsi="宋体" w:eastAsia="宋体" w:cs="Times New Roman"/>
          <w:sz w:val="28"/>
          <w:szCs w:val="28"/>
        </w:rPr>
      </w:pPr>
      <w:r>
        <w:rPr>
          <w:rFonts w:hint="eastAsia" w:ascii="宋体" w:hAnsi="宋体" w:eastAsia="宋体" w:cs="Times New Roman"/>
          <w:sz w:val="28"/>
          <w:szCs w:val="28"/>
        </w:rPr>
        <w:t>2）投标保证金：本项目不收取投标保证金。</w:t>
      </w:r>
    </w:p>
    <w:p>
      <w:pPr>
        <w:rPr>
          <w:rFonts w:hint="eastAsia" w:ascii="宋体" w:hAnsi="宋体" w:eastAsia="宋体" w:cs="Times New Roman"/>
          <w:sz w:val="28"/>
          <w:szCs w:val="28"/>
        </w:rPr>
      </w:pPr>
      <w:r>
        <w:rPr>
          <w:rFonts w:hint="eastAsia" w:ascii="宋体" w:hAnsi="宋体" w:eastAsia="宋体" w:cs="Times New Roman"/>
          <w:sz w:val="28"/>
          <w:szCs w:val="28"/>
        </w:rPr>
        <w:t>3）招标说明答疑：202</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年</w:t>
      </w:r>
      <w:r>
        <w:rPr>
          <w:rFonts w:hint="eastAsia" w:ascii="宋体" w:hAnsi="宋体" w:cs="Times New Roman"/>
          <w:sz w:val="28"/>
          <w:szCs w:val="28"/>
          <w:lang w:val="en-US" w:eastAsia="zh-CN"/>
        </w:rPr>
        <w:t>9</w:t>
      </w:r>
      <w:r>
        <w:rPr>
          <w:rFonts w:hint="eastAsia" w:ascii="宋体" w:hAnsi="宋体" w:eastAsia="宋体" w:cs="Times New Roman"/>
          <w:sz w:val="28"/>
          <w:szCs w:val="28"/>
        </w:rPr>
        <w:t>月</w:t>
      </w:r>
      <w:r>
        <w:rPr>
          <w:rFonts w:hint="eastAsia" w:ascii="宋体" w:hAnsi="宋体" w:cs="Times New Roman"/>
          <w:sz w:val="28"/>
          <w:szCs w:val="28"/>
          <w:lang w:val="en-US" w:eastAsia="zh-CN"/>
        </w:rPr>
        <w:t>27</w:t>
      </w:r>
      <w:r>
        <w:rPr>
          <w:rFonts w:hint="eastAsia" w:ascii="宋体" w:hAnsi="宋体" w:eastAsia="宋体" w:cs="Times New Roman"/>
          <w:sz w:val="28"/>
          <w:szCs w:val="28"/>
        </w:rPr>
        <w:t>日中午</w:t>
      </w:r>
      <w:r>
        <w:rPr>
          <w:rFonts w:hint="eastAsia" w:ascii="宋体" w:hAnsi="宋体" w:cs="Times New Roman"/>
          <w:sz w:val="28"/>
          <w:szCs w:val="28"/>
          <w:lang w:val="en-US" w:eastAsia="zh-CN"/>
        </w:rPr>
        <w:t>17</w:t>
      </w:r>
      <w:r>
        <w:rPr>
          <w:rFonts w:hint="eastAsia" w:ascii="宋体" w:hAnsi="宋体" w:eastAsia="宋体" w:cs="Times New Roman"/>
          <w:sz w:val="28"/>
          <w:szCs w:val="28"/>
        </w:rPr>
        <w:t xml:space="preserve"> 时前以</w:t>
      </w:r>
      <w:r>
        <w:rPr>
          <w:rFonts w:hint="eastAsia" w:ascii="宋体" w:hAnsi="宋体" w:eastAsia="宋体" w:cs="Times New Roman"/>
          <w:sz w:val="28"/>
          <w:szCs w:val="28"/>
          <w:lang w:eastAsia="zh-CN"/>
        </w:rPr>
        <w:t>通讯</w:t>
      </w:r>
      <w:r>
        <w:rPr>
          <w:rFonts w:hint="eastAsia" w:ascii="宋体" w:hAnsi="宋体" w:eastAsia="宋体" w:cs="Times New Roman"/>
          <w:sz w:val="28"/>
          <w:szCs w:val="28"/>
        </w:rPr>
        <w:t>方式</w:t>
      </w:r>
      <w:r>
        <w:rPr>
          <w:rFonts w:hint="eastAsia" w:ascii="宋体" w:hAnsi="宋体" w:eastAsia="宋体" w:cs="Times New Roman"/>
          <w:sz w:val="28"/>
          <w:szCs w:val="28"/>
          <w:lang w:eastAsia="zh-CN"/>
        </w:rPr>
        <w:t>向</w:t>
      </w:r>
      <w:r>
        <w:rPr>
          <w:rFonts w:hint="eastAsia" w:ascii="宋体" w:hAnsi="宋体" w:eastAsia="宋体" w:cs="Times New Roman"/>
          <w:sz w:val="28"/>
          <w:szCs w:val="28"/>
        </w:rPr>
        <w:t>招标单位</w:t>
      </w:r>
      <w:r>
        <w:rPr>
          <w:rFonts w:hint="eastAsia" w:ascii="宋体" w:hAnsi="宋体" w:eastAsia="宋体" w:cs="Times New Roman"/>
          <w:sz w:val="28"/>
          <w:szCs w:val="28"/>
          <w:lang w:eastAsia="zh-CN"/>
        </w:rPr>
        <w:t>咨询</w:t>
      </w:r>
      <w:r>
        <w:rPr>
          <w:rFonts w:hint="eastAsia" w:ascii="宋体" w:hAnsi="宋体" w:eastAsia="宋体" w:cs="Times New Roman"/>
          <w:sz w:val="28"/>
          <w:szCs w:val="28"/>
        </w:rPr>
        <w:t>。</w:t>
      </w:r>
    </w:p>
    <w:p>
      <w:pPr>
        <w:rPr>
          <w:rFonts w:hint="eastAsia" w:ascii="宋体" w:hAnsi="宋体" w:eastAsia="宋体" w:cs="Times New Roman"/>
          <w:sz w:val="28"/>
          <w:szCs w:val="28"/>
        </w:rPr>
      </w:pPr>
      <w:r>
        <w:rPr>
          <w:rFonts w:hint="eastAsia" w:ascii="宋体" w:hAnsi="宋体" w:eastAsia="宋体" w:cs="Times New Roman"/>
          <w:sz w:val="28"/>
          <w:szCs w:val="28"/>
        </w:rPr>
        <w:t>4）投标报价文件递交截止时间：202</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年</w:t>
      </w:r>
      <w:r>
        <w:rPr>
          <w:rFonts w:hint="eastAsia" w:ascii="宋体" w:hAnsi="宋体" w:cs="Times New Roman"/>
          <w:sz w:val="28"/>
          <w:szCs w:val="28"/>
          <w:lang w:val="en-US" w:eastAsia="zh-CN"/>
        </w:rPr>
        <w:t>9</w:t>
      </w:r>
      <w:r>
        <w:rPr>
          <w:rFonts w:hint="eastAsia" w:ascii="宋体" w:hAnsi="宋体" w:eastAsia="宋体" w:cs="Times New Roman"/>
          <w:sz w:val="28"/>
          <w:szCs w:val="28"/>
        </w:rPr>
        <w:t>月</w:t>
      </w:r>
      <w:r>
        <w:rPr>
          <w:rFonts w:hint="eastAsia" w:ascii="宋体" w:hAnsi="宋体" w:cs="Times New Roman"/>
          <w:sz w:val="28"/>
          <w:szCs w:val="28"/>
          <w:lang w:val="en-US" w:eastAsia="zh-CN"/>
        </w:rPr>
        <w:t>29</w:t>
      </w:r>
      <w:r>
        <w:rPr>
          <w:rFonts w:hint="eastAsia" w:ascii="宋体" w:hAnsi="宋体" w:eastAsia="宋体" w:cs="Times New Roman"/>
          <w:sz w:val="28"/>
          <w:szCs w:val="28"/>
        </w:rPr>
        <w:t>日中午12 时之前</w:t>
      </w:r>
    </w:p>
    <w:p>
      <w:pPr>
        <w:rPr>
          <w:rFonts w:hint="eastAsia" w:ascii="宋体" w:hAnsi="宋体" w:eastAsia="宋体" w:cs="Times New Roman"/>
          <w:sz w:val="28"/>
          <w:szCs w:val="28"/>
        </w:rPr>
      </w:pPr>
      <w:r>
        <w:rPr>
          <w:rFonts w:hint="eastAsia" w:ascii="宋体" w:hAnsi="宋体" w:eastAsia="宋体" w:cs="Times New Roman"/>
          <w:sz w:val="28"/>
          <w:szCs w:val="28"/>
        </w:rPr>
        <w:t>5）投标报价文件递交方式：于指定时间前快递至我司，地址：江苏省</w:t>
      </w:r>
      <w:r>
        <w:rPr>
          <w:rFonts w:hint="eastAsia" w:ascii="宋体" w:hAnsi="宋体" w:eastAsia="宋体" w:cs="Times New Roman"/>
          <w:sz w:val="28"/>
          <w:szCs w:val="28"/>
          <w:lang w:eastAsia="zh-CN"/>
        </w:rPr>
        <w:t>盐城</w:t>
      </w:r>
      <w:r>
        <w:rPr>
          <w:rFonts w:hint="eastAsia" w:ascii="宋体" w:hAnsi="宋体" w:eastAsia="宋体" w:cs="Times New Roman"/>
          <w:sz w:val="28"/>
          <w:szCs w:val="28"/>
        </w:rPr>
        <w:t>市</w:t>
      </w:r>
      <w:r>
        <w:rPr>
          <w:rFonts w:hint="eastAsia" w:ascii="宋体" w:hAnsi="宋体" w:eastAsia="宋体" w:cs="Times New Roman"/>
          <w:sz w:val="28"/>
          <w:szCs w:val="28"/>
          <w:lang w:eastAsia="zh-CN"/>
        </w:rPr>
        <w:t>国家经济开发区乌江路</w:t>
      </w:r>
      <w:r>
        <w:rPr>
          <w:rFonts w:hint="eastAsia" w:ascii="宋体" w:hAnsi="宋体" w:eastAsia="宋体" w:cs="Times New Roman"/>
          <w:sz w:val="28"/>
          <w:szCs w:val="28"/>
          <w:lang w:val="en-US" w:eastAsia="zh-CN"/>
        </w:rPr>
        <w:t>36号</w:t>
      </w:r>
      <w:r>
        <w:rPr>
          <w:rFonts w:hint="eastAsia" w:ascii="宋体" w:hAnsi="宋体" w:eastAsia="宋体" w:cs="Times New Roman"/>
          <w:sz w:val="28"/>
          <w:szCs w:val="28"/>
        </w:rPr>
        <w:t>，</w:t>
      </w:r>
      <w:r>
        <w:rPr>
          <w:rFonts w:hint="eastAsia" w:ascii="宋体" w:hAnsi="宋体" w:eastAsia="宋体" w:cs="Times New Roman"/>
          <w:sz w:val="28"/>
          <w:szCs w:val="28"/>
          <w:lang w:eastAsia="zh-CN"/>
        </w:rPr>
        <w:t>盐城国投新材料有限公司</w:t>
      </w:r>
      <w:r>
        <w:rPr>
          <w:rFonts w:hint="eastAsia" w:ascii="宋体" w:hAnsi="宋体" w:eastAsia="宋体" w:cs="Times New Roman"/>
          <w:sz w:val="28"/>
          <w:szCs w:val="28"/>
        </w:rPr>
        <w:t>，</w:t>
      </w:r>
      <w:r>
        <w:rPr>
          <w:rFonts w:hint="eastAsia" w:ascii="宋体" w:hAnsi="宋体" w:eastAsia="宋体" w:cs="Times New Roman"/>
          <w:sz w:val="28"/>
          <w:szCs w:val="28"/>
          <w:lang w:eastAsia="zh-CN"/>
        </w:rPr>
        <w:t>企业管理部，桑</w:t>
      </w:r>
      <w:r>
        <w:rPr>
          <w:rFonts w:hint="eastAsia" w:ascii="宋体" w:hAnsi="宋体" w:cs="Times New Roman"/>
          <w:sz w:val="28"/>
          <w:szCs w:val="28"/>
          <w:lang w:val="en-US" w:eastAsia="zh-CN"/>
        </w:rPr>
        <w:t>先生</w:t>
      </w:r>
      <w:r>
        <w:rPr>
          <w:rFonts w:hint="eastAsia" w:ascii="宋体" w:hAnsi="宋体" w:eastAsia="宋体" w:cs="Times New Roman"/>
          <w:sz w:val="28"/>
          <w:szCs w:val="28"/>
        </w:rPr>
        <w:t>收</w:t>
      </w:r>
      <w:r>
        <w:rPr>
          <w:rFonts w:hint="eastAsia" w:ascii="宋体" w:hAnsi="宋体" w:eastAsia="宋体" w:cs="Times New Roman"/>
          <w:sz w:val="28"/>
          <w:szCs w:val="28"/>
          <w:lang w:val="en-US" w:eastAsia="zh-CN"/>
        </w:rPr>
        <w:t xml:space="preserve"> 13805100526</w:t>
      </w:r>
      <w:r>
        <w:rPr>
          <w:rFonts w:hint="eastAsia" w:ascii="宋体" w:hAnsi="宋体" w:eastAsia="宋体" w:cs="Times New Roman"/>
          <w:sz w:val="28"/>
          <w:szCs w:val="28"/>
        </w:rPr>
        <w:t>.</w:t>
      </w:r>
    </w:p>
    <w:p>
      <w:pPr>
        <w:rPr>
          <w:rFonts w:hint="eastAsia" w:ascii="宋体" w:hAnsi="宋体" w:eastAsia="宋体" w:cs="Times New Roman"/>
          <w:sz w:val="28"/>
          <w:szCs w:val="28"/>
        </w:rPr>
      </w:pPr>
      <w:r>
        <w:rPr>
          <w:rFonts w:hint="eastAsia" w:ascii="宋体" w:hAnsi="宋体" w:eastAsia="宋体" w:cs="Times New Roman"/>
          <w:sz w:val="28"/>
          <w:szCs w:val="28"/>
        </w:rPr>
        <w:t>6）投标书：投标报价函一份、</w:t>
      </w:r>
      <w:r>
        <w:rPr>
          <w:rFonts w:hint="eastAsia" w:ascii="宋体" w:hAnsi="宋体" w:eastAsia="宋体" w:cs="Times New Roman"/>
          <w:sz w:val="28"/>
          <w:szCs w:val="28"/>
          <w:lang w:eastAsia="zh-CN"/>
        </w:rPr>
        <w:t>其他投标文件</w:t>
      </w:r>
      <w:r>
        <w:rPr>
          <w:rFonts w:hint="eastAsia" w:ascii="宋体" w:hAnsi="宋体" w:eastAsia="宋体" w:cs="Times New Roman"/>
          <w:sz w:val="28"/>
          <w:szCs w:val="28"/>
        </w:rPr>
        <w:t>一式</w:t>
      </w:r>
      <w:r>
        <w:rPr>
          <w:rFonts w:hint="eastAsia" w:ascii="宋体" w:hAnsi="宋体" w:eastAsia="宋体" w:cs="Times New Roman"/>
          <w:sz w:val="28"/>
          <w:szCs w:val="28"/>
          <w:lang w:eastAsia="zh-CN"/>
        </w:rPr>
        <w:t>壹</w:t>
      </w:r>
      <w:r>
        <w:rPr>
          <w:rFonts w:hint="eastAsia" w:ascii="宋体" w:hAnsi="宋体" w:eastAsia="宋体" w:cs="Times New Roman"/>
          <w:sz w:val="28"/>
          <w:szCs w:val="28"/>
        </w:rPr>
        <w:t>份，中文版。</w:t>
      </w:r>
    </w:p>
    <w:p>
      <w:pPr>
        <w:ind w:firstLine="2168" w:firstLineChars="600"/>
        <w:rPr>
          <w:rFonts w:hint="eastAsia" w:ascii="宋体" w:hAnsi="宋体"/>
          <w:b/>
          <w:sz w:val="36"/>
          <w:szCs w:val="36"/>
        </w:rPr>
      </w:pPr>
    </w:p>
    <w:p>
      <w:pPr>
        <w:ind w:firstLine="2168" w:firstLineChars="600"/>
        <w:rPr>
          <w:rFonts w:hint="eastAsia" w:ascii="宋体" w:hAnsi="宋体"/>
          <w:b/>
          <w:sz w:val="36"/>
          <w:szCs w:val="36"/>
        </w:rPr>
      </w:pPr>
    </w:p>
    <w:p>
      <w:pPr>
        <w:ind w:firstLine="2168" w:firstLineChars="600"/>
        <w:rPr>
          <w:rFonts w:hint="eastAsia" w:ascii="宋体" w:hAnsi="宋体"/>
          <w:sz w:val="28"/>
          <w:szCs w:val="28"/>
        </w:rPr>
      </w:pPr>
      <w:r>
        <w:rPr>
          <w:rFonts w:hint="eastAsia" w:ascii="宋体" w:hAnsi="宋体"/>
          <w:b/>
          <w:sz w:val="36"/>
          <w:szCs w:val="36"/>
        </w:rPr>
        <w:t>二、  标的技术要求</w:t>
      </w:r>
    </w:p>
    <w:p>
      <w:pPr>
        <w:ind w:firstLine="280" w:firstLineChars="100"/>
        <w:rPr>
          <w:rFonts w:ascii="宋体" w:hAnsi="宋体"/>
          <w:sz w:val="28"/>
          <w:szCs w:val="28"/>
        </w:rPr>
      </w:pPr>
      <w:r>
        <w:rPr>
          <w:rFonts w:hint="eastAsia" w:ascii="宋体" w:hAnsi="宋体"/>
          <w:sz w:val="28"/>
          <w:szCs w:val="28"/>
          <w:lang w:eastAsia="zh-CN"/>
        </w:rPr>
        <w:t>一</w:t>
      </w:r>
      <w:r>
        <w:rPr>
          <w:rFonts w:hint="eastAsia" w:ascii="宋体" w:hAnsi="宋体"/>
          <w:sz w:val="28"/>
          <w:szCs w:val="28"/>
        </w:rPr>
        <w:t>、</w:t>
      </w:r>
      <w:r>
        <w:rPr>
          <w:rFonts w:hint="eastAsia" w:ascii="宋体" w:hAnsi="宋体"/>
          <w:sz w:val="28"/>
          <w:szCs w:val="28"/>
          <w:lang w:eastAsia="zh-CN"/>
        </w:rPr>
        <w:t>项目</w:t>
      </w:r>
      <w:r>
        <w:rPr>
          <w:rFonts w:hint="eastAsia" w:ascii="宋体" w:hAnsi="宋体"/>
          <w:sz w:val="28"/>
          <w:szCs w:val="28"/>
        </w:rPr>
        <w:t>概况</w:t>
      </w:r>
    </w:p>
    <w:p>
      <w:pPr>
        <w:snapToGrid w:val="0"/>
        <w:spacing w:line="360" w:lineRule="auto"/>
        <w:ind w:firstLine="560" w:firstLineChars="200"/>
        <w:jc w:val="both"/>
        <w:rPr>
          <w:rFonts w:hint="eastAsia" w:ascii="宋体" w:hAnsi="宋体" w:eastAsia="宋体"/>
          <w:sz w:val="28"/>
          <w:szCs w:val="28"/>
          <w:lang w:eastAsia="zh-CN"/>
        </w:rPr>
      </w:pPr>
      <w:r>
        <w:rPr>
          <w:rFonts w:hint="eastAsia" w:ascii="宋体" w:hAnsi="宋体"/>
          <w:sz w:val="28"/>
          <w:szCs w:val="28"/>
        </w:rPr>
        <w:t>1、</w:t>
      </w:r>
      <w:r>
        <w:rPr>
          <w:rFonts w:hint="eastAsia" w:ascii="宋体" w:hAnsi="宋体"/>
          <w:sz w:val="28"/>
          <w:szCs w:val="28"/>
          <w:lang w:val="en-US" w:eastAsia="zh-CN"/>
        </w:rPr>
        <w:t>因技改扩能需要，特别是大平方铜线材和铜排的质量控制需要，必须购入一台智能金属导体电阻率测量仪</w:t>
      </w:r>
      <w:r>
        <w:rPr>
          <w:rFonts w:hint="eastAsia" w:ascii="宋体" w:hAnsi="宋体"/>
          <w:sz w:val="28"/>
          <w:szCs w:val="28"/>
          <w:lang w:eastAsia="zh-CN"/>
        </w:rPr>
        <w:t>，便于</w:t>
      </w:r>
      <w:r>
        <w:rPr>
          <w:rFonts w:hint="eastAsia" w:ascii="宋体" w:hAnsi="宋体"/>
          <w:sz w:val="28"/>
          <w:szCs w:val="28"/>
          <w:lang w:val="en-US" w:eastAsia="zh-CN"/>
        </w:rPr>
        <w:t>对全系列电线电缆导体的电阻率</w:t>
      </w:r>
      <w:r>
        <w:rPr>
          <w:rFonts w:hint="eastAsia" w:ascii="宋体" w:hAnsi="宋体"/>
          <w:sz w:val="28"/>
          <w:szCs w:val="28"/>
          <w:lang w:eastAsia="zh-CN"/>
        </w:rPr>
        <w:t>检测。</w:t>
      </w:r>
    </w:p>
    <w:p>
      <w:pPr>
        <w:ind w:firstLine="560" w:firstLineChars="200"/>
        <w:rPr>
          <w:rFonts w:hint="eastAsia" w:ascii="宋体" w:hAnsi="宋体" w:eastAsia="宋体"/>
          <w:sz w:val="28"/>
          <w:szCs w:val="28"/>
          <w:lang w:eastAsia="zh-CN"/>
        </w:rPr>
      </w:pPr>
      <w:r>
        <w:rPr>
          <w:rFonts w:hint="eastAsia" w:ascii="宋体" w:hAnsi="宋体"/>
          <w:sz w:val="28"/>
          <w:szCs w:val="28"/>
        </w:rPr>
        <w:t>2、</w:t>
      </w:r>
      <w:r>
        <w:rPr>
          <w:rFonts w:hint="eastAsia" w:ascii="宋体" w:hAnsi="宋体"/>
          <w:sz w:val="28"/>
          <w:szCs w:val="28"/>
          <w:lang w:eastAsia="zh-CN"/>
        </w:rPr>
        <w:t>设备安装</w:t>
      </w:r>
      <w:r>
        <w:rPr>
          <w:rFonts w:hint="eastAsia" w:ascii="宋体" w:hAnsi="宋体"/>
          <w:sz w:val="28"/>
          <w:szCs w:val="28"/>
        </w:rPr>
        <w:t>地点：</w:t>
      </w:r>
      <w:r>
        <w:rPr>
          <w:rFonts w:hint="eastAsia" w:ascii="宋体" w:hAnsi="宋体"/>
          <w:sz w:val="28"/>
          <w:szCs w:val="28"/>
          <w:lang w:val="en-US" w:eastAsia="zh-CN"/>
        </w:rPr>
        <w:t>实验室</w:t>
      </w:r>
      <w:r>
        <w:rPr>
          <w:rFonts w:hint="eastAsia" w:ascii="宋体" w:hAnsi="宋体"/>
          <w:sz w:val="28"/>
          <w:szCs w:val="28"/>
          <w:lang w:eastAsia="zh-CN"/>
        </w:rPr>
        <w:t>。</w:t>
      </w:r>
    </w:p>
    <w:p>
      <w:pPr>
        <w:ind w:firstLine="560" w:firstLineChars="200"/>
        <w:rPr>
          <w:rFonts w:hint="eastAsia" w:eastAsia="宋体"/>
          <w:sz w:val="28"/>
          <w:szCs w:val="28"/>
          <w:lang w:eastAsia="zh-CN"/>
        </w:rPr>
      </w:pPr>
      <w:r>
        <w:rPr>
          <w:rFonts w:hint="eastAsia" w:ascii="宋体" w:hAnsi="宋体"/>
          <w:sz w:val="28"/>
          <w:szCs w:val="28"/>
        </w:rPr>
        <w:t>3、</w:t>
      </w:r>
      <w:r>
        <w:rPr>
          <w:rFonts w:hint="eastAsia"/>
          <w:sz w:val="28"/>
          <w:szCs w:val="28"/>
          <w:lang w:eastAsia="zh-CN"/>
        </w:rPr>
        <w:t>安装</w:t>
      </w:r>
      <w:r>
        <w:rPr>
          <w:rFonts w:hint="eastAsia"/>
          <w:sz w:val="28"/>
          <w:szCs w:val="28"/>
        </w:rPr>
        <w:t>工期：按照</w:t>
      </w:r>
      <w:r>
        <w:rPr>
          <w:rFonts w:hint="eastAsia"/>
          <w:sz w:val="28"/>
          <w:szCs w:val="28"/>
          <w:lang w:eastAsia="zh-CN"/>
        </w:rPr>
        <w:t>安装计划</w:t>
      </w:r>
      <w:r>
        <w:rPr>
          <w:rFonts w:hint="eastAsia"/>
          <w:sz w:val="28"/>
          <w:szCs w:val="28"/>
        </w:rPr>
        <w:t>，</w:t>
      </w:r>
      <w:r>
        <w:rPr>
          <w:rFonts w:hint="eastAsia"/>
          <w:sz w:val="28"/>
          <w:szCs w:val="28"/>
          <w:lang w:eastAsia="zh-CN"/>
        </w:rPr>
        <w:t>设备于</w:t>
      </w:r>
      <w:r>
        <w:rPr>
          <w:rFonts w:hint="eastAsia"/>
          <w:sz w:val="28"/>
          <w:szCs w:val="28"/>
        </w:rPr>
        <w:t>20</w:t>
      </w:r>
      <w:r>
        <w:rPr>
          <w:rFonts w:hint="eastAsia"/>
          <w:sz w:val="28"/>
          <w:szCs w:val="28"/>
          <w:lang w:val="en-US" w:eastAsia="zh-CN"/>
        </w:rPr>
        <w:t>22</w:t>
      </w:r>
      <w:r>
        <w:rPr>
          <w:rFonts w:hint="eastAsia"/>
          <w:sz w:val="28"/>
          <w:szCs w:val="28"/>
        </w:rPr>
        <w:t>年</w:t>
      </w:r>
      <w:r>
        <w:rPr>
          <w:rFonts w:hint="eastAsia"/>
          <w:sz w:val="28"/>
          <w:szCs w:val="28"/>
          <w:lang w:val="en-US" w:eastAsia="zh-CN"/>
        </w:rPr>
        <w:t>10</w:t>
      </w:r>
      <w:r>
        <w:rPr>
          <w:rFonts w:hint="eastAsia"/>
          <w:sz w:val="28"/>
          <w:szCs w:val="28"/>
        </w:rPr>
        <w:t>月</w:t>
      </w:r>
      <w:r>
        <w:rPr>
          <w:rFonts w:hint="eastAsia"/>
          <w:sz w:val="28"/>
          <w:szCs w:val="28"/>
          <w:lang w:val="en-US" w:eastAsia="zh-CN"/>
        </w:rPr>
        <w:t>10</w:t>
      </w:r>
      <w:r>
        <w:rPr>
          <w:rFonts w:hint="eastAsia"/>
          <w:sz w:val="28"/>
          <w:szCs w:val="28"/>
        </w:rPr>
        <w:t>日</w:t>
      </w:r>
      <w:r>
        <w:rPr>
          <w:rFonts w:hint="eastAsia"/>
          <w:sz w:val="28"/>
          <w:szCs w:val="28"/>
          <w:lang w:eastAsia="zh-CN"/>
        </w:rPr>
        <w:t>前安装完毕。</w:t>
      </w:r>
    </w:p>
    <w:p>
      <w:pPr>
        <w:ind w:firstLine="560" w:firstLineChars="200"/>
        <w:rPr>
          <w:rFonts w:hint="eastAsia" w:ascii="宋体" w:hAnsi="宋体" w:eastAsia="宋体"/>
          <w:sz w:val="28"/>
          <w:szCs w:val="28"/>
          <w:lang w:eastAsia="zh-CN"/>
        </w:rPr>
      </w:pP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 xml:space="preserve"> 质量标准：合格 </w:t>
      </w:r>
    </w:p>
    <w:p>
      <w:pPr>
        <w:ind w:firstLine="280" w:firstLineChars="100"/>
        <w:rPr>
          <w:rFonts w:hint="eastAsia" w:ascii="宋体" w:hAnsi="宋体"/>
          <w:sz w:val="28"/>
          <w:szCs w:val="28"/>
          <w:lang w:eastAsia="zh-CN"/>
        </w:rPr>
      </w:pPr>
      <w:r>
        <w:rPr>
          <w:rFonts w:hint="eastAsia" w:ascii="宋体" w:hAnsi="宋体"/>
          <w:sz w:val="28"/>
          <w:szCs w:val="28"/>
          <w:lang w:eastAsia="zh-CN"/>
        </w:rPr>
        <w:t>二、技术要求</w:t>
      </w:r>
    </w:p>
    <w:p>
      <w:pPr>
        <w:ind w:firstLine="280" w:firstLineChars="100"/>
        <w:rPr>
          <w:rFonts w:hint="default" w:ascii="宋体" w:hAnsi="宋体"/>
          <w:sz w:val="28"/>
          <w:szCs w:val="28"/>
          <w:lang w:val="en-US" w:eastAsia="zh-CN"/>
        </w:rPr>
      </w:pPr>
      <w:r>
        <w:rPr>
          <w:rFonts w:hint="eastAsia" w:ascii="宋体" w:hAnsi="宋体"/>
          <w:sz w:val="28"/>
          <w:szCs w:val="28"/>
          <w:lang w:eastAsia="zh-CN"/>
        </w:rPr>
        <w:t>（</w:t>
      </w:r>
      <w:r>
        <w:rPr>
          <w:rFonts w:hint="eastAsia" w:ascii="宋体" w:hAnsi="宋体"/>
          <w:sz w:val="28"/>
          <w:szCs w:val="28"/>
          <w:lang w:val="en-US" w:eastAsia="zh-CN"/>
        </w:rPr>
        <w:t>一</w:t>
      </w:r>
      <w:r>
        <w:rPr>
          <w:rFonts w:hint="eastAsia" w:ascii="宋体" w:hAnsi="宋体"/>
          <w:sz w:val="28"/>
          <w:szCs w:val="28"/>
          <w:lang w:eastAsia="zh-CN"/>
        </w:rPr>
        <w:t>）</w:t>
      </w:r>
      <w:r>
        <w:rPr>
          <w:rFonts w:hint="eastAsia" w:ascii="宋体" w:hAnsi="宋体"/>
          <w:sz w:val="28"/>
          <w:szCs w:val="28"/>
          <w:lang w:val="en-US" w:eastAsia="zh-CN"/>
        </w:rPr>
        <w:t>量程：标的物不得小于以下量程，准确度等级不得低于以下内容。（表格格式供参考）</w:t>
      </w:r>
    </w:p>
    <w:tbl>
      <w:tblPr>
        <w:tblStyle w:val="7"/>
        <w:tblW w:w="953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72"/>
        <w:gridCol w:w="1800"/>
        <w:gridCol w:w="1261"/>
        <w:gridCol w:w="1798"/>
        <w:gridCol w:w="1552"/>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24" w:type="pct"/>
            <w:noWrap w:val="0"/>
            <w:vAlign w:val="center"/>
          </w:tcPr>
          <w:p>
            <w:pPr>
              <w:widowControl/>
              <w:spacing w:line="270" w:lineRule="atLeast"/>
              <w:jc w:val="center"/>
              <w:rPr>
                <w:b/>
                <w:color w:val="666666"/>
                <w:kern w:val="0"/>
                <w:sz w:val="18"/>
                <w:szCs w:val="18"/>
              </w:rPr>
            </w:pPr>
            <w:r>
              <w:rPr>
                <w:b/>
                <w:color w:val="666666"/>
                <w:kern w:val="0"/>
                <w:sz w:val="18"/>
                <w:szCs w:val="18"/>
              </w:rPr>
              <w:t>量程</w:t>
            </w:r>
          </w:p>
        </w:tc>
        <w:tc>
          <w:tcPr>
            <w:tcW w:w="944" w:type="pct"/>
            <w:noWrap w:val="0"/>
            <w:vAlign w:val="center"/>
          </w:tcPr>
          <w:p>
            <w:pPr>
              <w:widowControl/>
              <w:spacing w:line="270" w:lineRule="atLeast"/>
              <w:jc w:val="center"/>
              <w:rPr>
                <w:b/>
                <w:color w:val="666666"/>
                <w:kern w:val="0"/>
                <w:sz w:val="18"/>
                <w:szCs w:val="18"/>
              </w:rPr>
            </w:pPr>
            <w:r>
              <w:rPr>
                <w:b/>
                <w:color w:val="666666"/>
                <w:kern w:val="0"/>
                <w:sz w:val="18"/>
                <w:szCs w:val="18"/>
              </w:rPr>
              <w:t>测量范围</w:t>
            </w:r>
          </w:p>
        </w:tc>
        <w:tc>
          <w:tcPr>
            <w:tcW w:w="661" w:type="pct"/>
            <w:noWrap w:val="0"/>
            <w:vAlign w:val="center"/>
          </w:tcPr>
          <w:p>
            <w:pPr>
              <w:widowControl/>
              <w:spacing w:line="270" w:lineRule="atLeast"/>
              <w:jc w:val="center"/>
              <w:rPr>
                <w:b/>
                <w:color w:val="666666"/>
                <w:kern w:val="0"/>
                <w:sz w:val="18"/>
                <w:szCs w:val="18"/>
              </w:rPr>
            </w:pPr>
            <w:r>
              <w:rPr>
                <w:b/>
                <w:color w:val="666666"/>
                <w:kern w:val="0"/>
                <w:sz w:val="18"/>
                <w:szCs w:val="18"/>
              </w:rPr>
              <w:t>分辨力</w:t>
            </w:r>
          </w:p>
        </w:tc>
        <w:tc>
          <w:tcPr>
            <w:tcW w:w="943" w:type="pct"/>
            <w:noWrap w:val="0"/>
            <w:vAlign w:val="center"/>
          </w:tcPr>
          <w:p>
            <w:pPr>
              <w:widowControl/>
              <w:spacing w:line="270" w:lineRule="atLeast"/>
              <w:jc w:val="center"/>
              <w:rPr>
                <w:b/>
                <w:color w:val="666666"/>
                <w:kern w:val="0"/>
                <w:sz w:val="18"/>
                <w:szCs w:val="18"/>
              </w:rPr>
            </w:pPr>
            <w:r>
              <w:rPr>
                <w:b/>
                <w:color w:val="666666"/>
                <w:kern w:val="0"/>
                <w:sz w:val="18"/>
                <w:szCs w:val="18"/>
              </w:rPr>
              <w:t>测试电流（可换向）</w:t>
            </w:r>
          </w:p>
        </w:tc>
        <w:tc>
          <w:tcPr>
            <w:tcW w:w="814" w:type="pct"/>
            <w:noWrap w:val="0"/>
            <w:vAlign w:val="center"/>
          </w:tcPr>
          <w:p>
            <w:pPr>
              <w:widowControl/>
              <w:spacing w:line="270" w:lineRule="atLeast"/>
              <w:jc w:val="center"/>
              <w:rPr>
                <w:b/>
                <w:color w:val="666666"/>
                <w:kern w:val="0"/>
                <w:sz w:val="18"/>
                <w:szCs w:val="18"/>
              </w:rPr>
            </w:pPr>
            <w:r>
              <w:rPr>
                <w:b/>
                <w:color w:val="666666"/>
                <w:kern w:val="0"/>
                <w:sz w:val="18"/>
                <w:szCs w:val="18"/>
              </w:rPr>
              <w:t>准确度等级</w:t>
            </w:r>
          </w:p>
        </w:tc>
        <w:tc>
          <w:tcPr>
            <w:tcW w:w="815" w:type="pct"/>
            <w:noWrap w:val="0"/>
            <w:vAlign w:val="center"/>
          </w:tcPr>
          <w:p>
            <w:pPr>
              <w:spacing w:line="270" w:lineRule="atLeast"/>
              <w:jc w:val="center"/>
              <w:rPr>
                <w:b/>
                <w:color w:val="666666"/>
                <w:kern w:val="0"/>
                <w:sz w:val="18"/>
                <w:szCs w:val="18"/>
              </w:rPr>
            </w:pPr>
            <w:r>
              <w:rPr>
                <w:b/>
                <w:color w:val="666666"/>
                <w:kern w:val="0"/>
                <w:sz w:val="18"/>
                <w:szCs w:val="18"/>
              </w:rPr>
              <w:t>电流倍率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24" w:type="pct"/>
            <w:noWrap w:val="0"/>
            <w:vAlign w:val="center"/>
          </w:tcPr>
          <w:p>
            <w:pPr>
              <w:widowControl/>
              <w:spacing w:line="270" w:lineRule="atLeast"/>
              <w:jc w:val="center"/>
              <w:rPr>
                <w:b/>
                <w:color w:val="666666"/>
                <w:kern w:val="0"/>
                <w:sz w:val="18"/>
                <w:szCs w:val="18"/>
              </w:rPr>
            </w:pPr>
            <w:r>
              <w:rPr>
                <w:b/>
                <w:color w:val="666666"/>
                <w:kern w:val="0"/>
                <w:sz w:val="18"/>
                <w:szCs w:val="18"/>
              </w:rPr>
              <w:t>200</w:t>
            </w:r>
            <w:r>
              <w:rPr>
                <w:b/>
                <w:color w:val="666666"/>
                <w:kern w:val="0"/>
                <w:szCs w:val="21"/>
              </w:rPr>
              <w:t>μ</w:t>
            </w:r>
            <w:r>
              <w:rPr>
                <w:b/>
                <w:color w:val="666666"/>
                <w:kern w:val="0"/>
                <w:sz w:val="18"/>
                <w:szCs w:val="18"/>
              </w:rPr>
              <w:t>Ω</w:t>
            </w:r>
          </w:p>
        </w:tc>
        <w:tc>
          <w:tcPr>
            <w:tcW w:w="944" w:type="pct"/>
            <w:noWrap w:val="0"/>
            <w:vAlign w:val="center"/>
          </w:tcPr>
          <w:p>
            <w:pPr>
              <w:widowControl/>
              <w:spacing w:line="270" w:lineRule="atLeast"/>
              <w:jc w:val="center"/>
              <w:rPr>
                <w:b/>
                <w:color w:val="666666"/>
                <w:kern w:val="0"/>
                <w:sz w:val="18"/>
                <w:szCs w:val="18"/>
              </w:rPr>
            </w:pPr>
            <w:r>
              <w:rPr>
                <w:b/>
                <w:color w:val="666666"/>
                <w:kern w:val="0"/>
                <w:sz w:val="18"/>
                <w:szCs w:val="18"/>
              </w:rPr>
              <w:t>0-199.999</w:t>
            </w:r>
            <w:r>
              <w:rPr>
                <w:b/>
                <w:color w:val="666666"/>
                <w:kern w:val="0"/>
                <w:szCs w:val="21"/>
              </w:rPr>
              <w:t>μ</w:t>
            </w:r>
            <w:r>
              <w:rPr>
                <w:b/>
                <w:color w:val="666666"/>
                <w:kern w:val="0"/>
                <w:sz w:val="18"/>
                <w:szCs w:val="18"/>
              </w:rPr>
              <w:t>Ω</w:t>
            </w:r>
          </w:p>
        </w:tc>
        <w:tc>
          <w:tcPr>
            <w:tcW w:w="661" w:type="pct"/>
            <w:noWrap w:val="0"/>
            <w:vAlign w:val="center"/>
          </w:tcPr>
          <w:p>
            <w:pPr>
              <w:widowControl/>
              <w:spacing w:line="270" w:lineRule="atLeast"/>
              <w:jc w:val="center"/>
              <w:rPr>
                <w:b/>
                <w:color w:val="666666"/>
                <w:kern w:val="0"/>
                <w:sz w:val="18"/>
                <w:szCs w:val="18"/>
              </w:rPr>
            </w:pPr>
            <w:r>
              <w:rPr>
                <w:b/>
                <w:color w:val="666666"/>
                <w:kern w:val="0"/>
                <w:sz w:val="18"/>
                <w:szCs w:val="18"/>
              </w:rPr>
              <w:t>0.001</w:t>
            </w:r>
            <w:r>
              <w:rPr>
                <w:b/>
                <w:color w:val="666666"/>
                <w:kern w:val="0"/>
                <w:szCs w:val="21"/>
              </w:rPr>
              <w:t>μ</w:t>
            </w:r>
            <w:r>
              <w:rPr>
                <w:b/>
                <w:color w:val="666666"/>
                <w:kern w:val="0"/>
                <w:sz w:val="18"/>
                <w:szCs w:val="18"/>
              </w:rPr>
              <w:t>Ω</w:t>
            </w:r>
          </w:p>
        </w:tc>
        <w:tc>
          <w:tcPr>
            <w:tcW w:w="943" w:type="pct"/>
            <w:noWrap w:val="0"/>
            <w:vAlign w:val="center"/>
          </w:tcPr>
          <w:p>
            <w:pPr>
              <w:widowControl/>
              <w:spacing w:line="270" w:lineRule="atLeast"/>
              <w:jc w:val="center"/>
              <w:rPr>
                <w:b/>
                <w:color w:val="666666"/>
                <w:kern w:val="0"/>
                <w:sz w:val="18"/>
                <w:szCs w:val="18"/>
              </w:rPr>
            </w:pPr>
            <w:r>
              <w:rPr>
                <w:b/>
                <w:color w:val="666666"/>
                <w:kern w:val="0"/>
                <w:sz w:val="18"/>
                <w:szCs w:val="18"/>
              </w:rPr>
              <w:t>±10A</w:t>
            </w:r>
          </w:p>
        </w:tc>
        <w:tc>
          <w:tcPr>
            <w:tcW w:w="814" w:type="pct"/>
            <w:noWrap w:val="0"/>
            <w:vAlign w:val="center"/>
          </w:tcPr>
          <w:p>
            <w:pPr>
              <w:widowControl/>
              <w:spacing w:line="270" w:lineRule="atLeast"/>
              <w:jc w:val="center"/>
              <w:rPr>
                <w:b/>
                <w:color w:val="666666"/>
                <w:kern w:val="0"/>
                <w:sz w:val="18"/>
                <w:szCs w:val="18"/>
              </w:rPr>
            </w:pPr>
            <w:r>
              <w:rPr>
                <w:b/>
                <w:color w:val="666666"/>
                <w:kern w:val="0"/>
                <w:sz w:val="18"/>
                <w:szCs w:val="18"/>
              </w:rPr>
              <w:t>0.2%</w:t>
            </w:r>
          </w:p>
        </w:tc>
        <w:tc>
          <w:tcPr>
            <w:tcW w:w="815" w:type="pct"/>
            <w:noWrap w:val="0"/>
            <w:vAlign w:val="center"/>
          </w:tcPr>
          <w:p>
            <w:pPr>
              <w:spacing w:line="270" w:lineRule="atLeast"/>
              <w:jc w:val="center"/>
              <w:rPr>
                <w:b/>
                <w:color w:val="666666"/>
                <w:kern w:val="0"/>
                <w:sz w:val="18"/>
                <w:szCs w:val="18"/>
              </w:rPr>
            </w:pPr>
            <w:r>
              <w:rPr>
                <w:b/>
                <w:color w:val="666666"/>
                <w:kern w:val="0"/>
                <w:sz w:val="18"/>
                <w:szCs w:val="18"/>
              </w:rPr>
              <w:t>0.707/1/1.414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24" w:type="pct"/>
            <w:noWrap w:val="0"/>
            <w:vAlign w:val="center"/>
          </w:tcPr>
          <w:p>
            <w:pPr>
              <w:widowControl/>
              <w:spacing w:line="270" w:lineRule="atLeast"/>
              <w:jc w:val="center"/>
              <w:rPr>
                <w:b/>
                <w:color w:val="666666"/>
                <w:kern w:val="0"/>
                <w:sz w:val="18"/>
                <w:szCs w:val="18"/>
              </w:rPr>
            </w:pPr>
            <w:r>
              <w:rPr>
                <w:b/>
                <w:color w:val="666666"/>
                <w:kern w:val="0"/>
                <w:sz w:val="18"/>
                <w:szCs w:val="18"/>
              </w:rPr>
              <w:t>2 mΩ</w:t>
            </w:r>
          </w:p>
        </w:tc>
        <w:tc>
          <w:tcPr>
            <w:tcW w:w="944" w:type="pct"/>
            <w:noWrap w:val="0"/>
            <w:vAlign w:val="center"/>
          </w:tcPr>
          <w:p>
            <w:pPr>
              <w:widowControl/>
              <w:spacing w:line="270" w:lineRule="atLeast"/>
              <w:jc w:val="center"/>
              <w:rPr>
                <w:b/>
                <w:color w:val="666666"/>
                <w:kern w:val="0"/>
                <w:sz w:val="18"/>
                <w:szCs w:val="18"/>
              </w:rPr>
            </w:pPr>
            <w:r>
              <w:rPr>
                <w:b/>
                <w:color w:val="666666"/>
                <w:kern w:val="0"/>
                <w:sz w:val="18"/>
                <w:szCs w:val="18"/>
              </w:rPr>
              <w:t>0-1.99999mΩ</w:t>
            </w:r>
          </w:p>
        </w:tc>
        <w:tc>
          <w:tcPr>
            <w:tcW w:w="661" w:type="pct"/>
            <w:noWrap w:val="0"/>
            <w:vAlign w:val="center"/>
          </w:tcPr>
          <w:p>
            <w:pPr>
              <w:widowControl/>
              <w:spacing w:line="270" w:lineRule="atLeast"/>
              <w:jc w:val="center"/>
              <w:rPr>
                <w:b/>
                <w:color w:val="666666"/>
                <w:kern w:val="0"/>
                <w:sz w:val="18"/>
                <w:szCs w:val="18"/>
              </w:rPr>
            </w:pPr>
            <w:r>
              <w:rPr>
                <w:b/>
                <w:color w:val="666666"/>
                <w:kern w:val="0"/>
                <w:sz w:val="18"/>
                <w:szCs w:val="18"/>
              </w:rPr>
              <w:t>0.01</w:t>
            </w:r>
            <w:r>
              <w:rPr>
                <w:b/>
                <w:color w:val="666666"/>
                <w:kern w:val="0"/>
                <w:szCs w:val="21"/>
              </w:rPr>
              <w:t>μ</w:t>
            </w:r>
            <w:r>
              <w:rPr>
                <w:b/>
                <w:color w:val="666666"/>
                <w:kern w:val="0"/>
                <w:sz w:val="18"/>
                <w:szCs w:val="18"/>
              </w:rPr>
              <w:t>Ω</w:t>
            </w:r>
          </w:p>
        </w:tc>
        <w:tc>
          <w:tcPr>
            <w:tcW w:w="943" w:type="pct"/>
            <w:noWrap w:val="0"/>
            <w:vAlign w:val="center"/>
          </w:tcPr>
          <w:p>
            <w:pPr>
              <w:widowControl/>
              <w:spacing w:line="270" w:lineRule="atLeast"/>
              <w:jc w:val="center"/>
              <w:rPr>
                <w:b/>
                <w:color w:val="666666"/>
                <w:kern w:val="0"/>
                <w:sz w:val="18"/>
                <w:szCs w:val="18"/>
              </w:rPr>
            </w:pPr>
            <w:r>
              <w:rPr>
                <w:b/>
                <w:color w:val="666666"/>
                <w:kern w:val="0"/>
                <w:sz w:val="18"/>
                <w:szCs w:val="18"/>
              </w:rPr>
              <w:t>±10A</w:t>
            </w:r>
          </w:p>
        </w:tc>
        <w:tc>
          <w:tcPr>
            <w:tcW w:w="814" w:type="pct"/>
            <w:noWrap w:val="0"/>
            <w:vAlign w:val="center"/>
          </w:tcPr>
          <w:p>
            <w:pPr>
              <w:widowControl/>
              <w:spacing w:line="270" w:lineRule="atLeast"/>
              <w:jc w:val="center"/>
              <w:rPr>
                <w:b/>
                <w:color w:val="666666"/>
                <w:kern w:val="0"/>
                <w:sz w:val="18"/>
                <w:szCs w:val="18"/>
              </w:rPr>
            </w:pPr>
            <w:r>
              <w:rPr>
                <w:b/>
                <w:color w:val="666666"/>
                <w:kern w:val="0"/>
                <w:sz w:val="18"/>
                <w:szCs w:val="18"/>
              </w:rPr>
              <w:t>0.1%</w:t>
            </w:r>
          </w:p>
        </w:tc>
        <w:tc>
          <w:tcPr>
            <w:tcW w:w="815" w:type="pct"/>
            <w:noWrap w:val="0"/>
            <w:vAlign w:val="center"/>
          </w:tcPr>
          <w:p>
            <w:pPr>
              <w:spacing w:line="270" w:lineRule="atLeast"/>
              <w:jc w:val="center"/>
              <w:rPr>
                <w:b/>
                <w:color w:val="666666"/>
                <w:kern w:val="0"/>
                <w:sz w:val="18"/>
                <w:szCs w:val="18"/>
              </w:rPr>
            </w:pPr>
            <w:r>
              <w:rPr>
                <w:b/>
                <w:color w:val="666666"/>
                <w:kern w:val="0"/>
                <w:sz w:val="18"/>
                <w:szCs w:val="18"/>
              </w:rPr>
              <w:t>0.707/1/1.414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24" w:type="pct"/>
            <w:noWrap w:val="0"/>
            <w:vAlign w:val="center"/>
          </w:tcPr>
          <w:p>
            <w:pPr>
              <w:widowControl/>
              <w:spacing w:line="270" w:lineRule="atLeast"/>
              <w:jc w:val="center"/>
              <w:rPr>
                <w:b/>
                <w:color w:val="666666"/>
                <w:kern w:val="0"/>
                <w:sz w:val="18"/>
                <w:szCs w:val="18"/>
              </w:rPr>
            </w:pPr>
            <w:r>
              <w:rPr>
                <w:b/>
                <w:color w:val="666666"/>
                <w:kern w:val="0"/>
                <w:sz w:val="18"/>
                <w:szCs w:val="18"/>
              </w:rPr>
              <w:t>20 mΩ</w:t>
            </w:r>
          </w:p>
        </w:tc>
        <w:tc>
          <w:tcPr>
            <w:tcW w:w="944" w:type="pct"/>
            <w:noWrap w:val="0"/>
            <w:vAlign w:val="center"/>
          </w:tcPr>
          <w:p>
            <w:pPr>
              <w:widowControl/>
              <w:spacing w:line="270" w:lineRule="atLeast"/>
              <w:jc w:val="center"/>
              <w:rPr>
                <w:b/>
                <w:color w:val="666666"/>
                <w:kern w:val="0"/>
                <w:sz w:val="18"/>
                <w:szCs w:val="18"/>
              </w:rPr>
            </w:pPr>
            <w:r>
              <w:rPr>
                <w:b/>
                <w:color w:val="666666"/>
                <w:kern w:val="0"/>
                <w:sz w:val="18"/>
                <w:szCs w:val="18"/>
              </w:rPr>
              <w:t>0-19.9999mΩ</w:t>
            </w:r>
          </w:p>
        </w:tc>
        <w:tc>
          <w:tcPr>
            <w:tcW w:w="661" w:type="pct"/>
            <w:noWrap w:val="0"/>
            <w:vAlign w:val="center"/>
          </w:tcPr>
          <w:p>
            <w:pPr>
              <w:widowControl/>
              <w:spacing w:line="270" w:lineRule="atLeast"/>
              <w:jc w:val="center"/>
              <w:rPr>
                <w:b/>
                <w:color w:val="666666"/>
                <w:kern w:val="0"/>
                <w:sz w:val="18"/>
                <w:szCs w:val="18"/>
              </w:rPr>
            </w:pPr>
            <w:r>
              <w:rPr>
                <w:b/>
                <w:color w:val="666666"/>
                <w:kern w:val="0"/>
                <w:sz w:val="18"/>
                <w:szCs w:val="18"/>
              </w:rPr>
              <w:t>0. 1</w:t>
            </w:r>
            <w:r>
              <w:rPr>
                <w:b/>
                <w:color w:val="666666"/>
                <w:kern w:val="0"/>
                <w:szCs w:val="21"/>
              </w:rPr>
              <w:t>μ</w:t>
            </w:r>
            <w:r>
              <w:rPr>
                <w:b/>
                <w:color w:val="666666"/>
                <w:kern w:val="0"/>
                <w:sz w:val="18"/>
                <w:szCs w:val="18"/>
              </w:rPr>
              <w:t>Ω</w:t>
            </w:r>
          </w:p>
        </w:tc>
        <w:tc>
          <w:tcPr>
            <w:tcW w:w="943" w:type="pct"/>
            <w:noWrap w:val="0"/>
            <w:vAlign w:val="center"/>
          </w:tcPr>
          <w:p>
            <w:pPr>
              <w:widowControl/>
              <w:spacing w:line="270" w:lineRule="atLeast"/>
              <w:jc w:val="center"/>
              <w:rPr>
                <w:b/>
                <w:color w:val="666666"/>
                <w:kern w:val="0"/>
                <w:sz w:val="18"/>
                <w:szCs w:val="18"/>
              </w:rPr>
            </w:pPr>
            <w:r>
              <w:rPr>
                <w:b/>
                <w:color w:val="666666"/>
                <w:kern w:val="0"/>
                <w:sz w:val="18"/>
                <w:szCs w:val="18"/>
              </w:rPr>
              <w:t>±1A</w:t>
            </w:r>
          </w:p>
        </w:tc>
        <w:tc>
          <w:tcPr>
            <w:tcW w:w="814" w:type="pct"/>
            <w:noWrap w:val="0"/>
            <w:vAlign w:val="center"/>
          </w:tcPr>
          <w:p>
            <w:pPr>
              <w:spacing w:line="270" w:lineRule="atLeast"/>
              <w:jc w:val="center"/>
              <w:rPr>
                <w:b/>
                <w:color w:val="666666"/>
                <w:kern w:val="0"/>
                <w:sz w:val="18"/>
                <w:szCs w:val="18"/>
              </w:rPr>
            </w:pPr>
            <w:r>
              <w:rPr>
                <w:b/>
                <w:color w:val="666666"/>
                <w:kern w:val="0"/>
                <w:sz w:val="18"/>
                <w:szCs w:val="18"/>
              </w:rPr>
              <w:t>0.05%</w:t>
            </w:r>
          </w:p>
        </w:tc>
        <w:tc>
          <w:tcPr>
            <w:tcW w:w="815" w:type="pct"/>
            <w:noWrap w:val="0"/>
            <w:vAlign w:val="center"/>
          </w:tcPr>
          <w:p>
            <w:pPr>
              <w:spacing w:line="270" w:lineRule="atLeast"/>
              <w:jc w:val="center"/>
              <w:rPr>
                <w:b/>
                <w:color w:val="666666"/>
                <w:kern w:val="0"/>
                <w:sz w:val="18"/>
                <w:szCs w:val="18"/>
              </w:rPr>
            </w:pPr>
            <w:r>
              <w:rPr>
                <w:b/>
                <w:color w:val="666666"/>
                <w:kern w:val="0"/>
                <w:sz w:val="18"/>
                <w:szCs w:val="18"/>
              </w:rPr>
              <w:t>0.707/1/1.414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24" w:type="pct"/>
            <w:noWrap w:val="0"/>
            <w:vAlign w:val="center"/>
          </w:tcPr>
          <w:p>
            <w:pPr>
              <w:widowControl/>
              <w:spacing w:line="270" w:lineRule="atLeast"/>
              <w:jc w:val="center"/>
              <w:rPr>
                <w:b/>
                <w:color w:val="666666"/>
                <w:kern w:val="0"/>
                <w:sz w:val="18"/>
                <w:szCs w:val="18"/>
              </w:rPr>
            </w:pPr>
            <w:r>
              <w:rPr>
                <w:b/>
                <w:color w:val="666666"/>
                <w:kern w:val="0"/>
                <w:sz w:val="18"/>
                <w:szCs w:val="18"/>
              </w:rPr>
              <w:t>200 mΩ</w:t>
            </w:r>
          </w:p>
        </w:tc>
        <w:tc>
          <w:tcPr>
            <w:tcW w:w="944" w:type="pct"/>
            <w:noWrap w:val="0"/>
            <w:vAlign w:val="center"/>
          </w:tcPr>
          <w:p>
            <w:pPr>
              <w:widowControl/>
              <w:spacing w:line="270" w:lineRule="atLeast"/>
              <w:jc w:val="center"/>
              <w:rPr>
                <w:b/>
                <w:color w:val="666666"/>
                <w:kern w:val="0"/>
                <w:sz w:val="18"/>
                <w:szCs w:val="18"/>
              </w:rPr>
            </w:pPr>
            <w:r>
              <w:rPr>
                <w:b/>
                <w:color w:val="666666"/>
                <w:kern w:val="0"/>
                <w:sz w:val="18"/>
                <w:szCs w:val="18"/>
              </w:rPr>
              <w:t>0-199.999mΩ</w:t>
            </w:r>
          </w:p>
        </w:tc>
        <w:tc>
          <w:tcPr>
            <w:tcW w:w="661" w:type="pct"/>
            <w:noWrap w:val="0"/>
            <w:vAlign w:val="center"/>
          </w:tcPr>
          <w:p>
            <w:pPr>
              <w:widowControl/>
              <w:spacing w:line="270" w:lineRule="atLeast"/>
              <w:jc w:val="center"/>
              <w:rPr>
                <w:b/>
                <w:color w:val="666666"/>
                <w:kern w:val="0"/>
                <w:sz w:val="18"/>
                <w:szCs w:val="18"/>
              </w:rPr>
            </w:pPr>
            <w:r>
              <w:rPr>
                <w:b/>
                <w:color w:val="666666"/>
                <w:kern w:val="0"/>
                <w:sz w:val="18"/>
                <w:szCs w:val="18"/>
              </w:rPr>
              <w:t>1</w:t>
            </w:r>
            <w:r>
              <w:rPr>
                <w:b/>
                <w:color w:val="666666"/>
                <w:kern w:val="0"/>
                <w:szCs w:val="21"/>
              </w:rPr>
              <w:t>μ</w:t>
            </w:r>
            <w:r>
              <w:rPr>
                <w:b/>
                <w:color w:val="666666"/>
                <w:kern w:val="0"/>
                <w:sz w:val="18"/>
                <w:szCs w:val="18"/>
              </w:rPr>
              <w:t>Ω</w:t>
            </w:r>
          </w:p>
        </w:tc>
        <w:tc>
          <w:tcPr>
            <w:tcW w:w="943" w:type="pct"/>
            <w:noWrap w:val="0"/>
            <w:vAlign w:val="center"/>
          </w:tcPr>
          <w:p>
            <w:pPr>
              <w:widowControl/>
              <w:spacing w:line="270" w:lineRule="atLeast"/>
              <w:jc w:val="center"/>
              <w:rPr>
                <w:b/>
                <w:color w:val="666666"/>
                <w:kern w:val="0"/>
                <w:sz w:val="18"/>
                <w:szCs w:val="18"/>
              </w:rPr>
            </w:pPr>
            <w:r>
              <w:rPr>
                <w:b/>
                <w:color w:val="666666"/>
                <w:kern w:val="0"/>
                <w:sz w:val="18"/>
                <w:szCs w:val="18"/>
              </w:rPr>
              <w:t>±0.1A</w:t>
            </w:r>
          </w:p>
        </w:tc>
        <w:tc>
          <w:tcPr>
            <w:tcW w:w="814" w:type="pct"/>
            <w:noWrap w:val="0"/>
            <w:vAlign w:val="center"/>
          </w:tcPr>
          <w:p>
            <w:pPr>
              <w:widowControl/>
              <w:spacing w:line="270" w:lineRule="atLeast"/>
              <w:jc w:val="center"/>
              <w:rPr>
                <w:b/>
                <w:color w:val="666666"/>
                <w:kern w:val="0"/>
                <w:sz w:val="18"/>
                <w:szCs w:val="18"/>
              </w:rPr>
            </w:pPr>
            <w:r>
              <w:rPr>
                <w:b/>
                <w:color w:val="666666"/>
                <w:kern w:val="0"/>
                <w:sz w:val="18"/>
                <w:szCs w:val="18"/>
              </w:rPr>
              <w:t>0.05%</w:t>
            </w:r>
          </w:p>
        </w:tc>
        <w:tc>
          <w:tcPr>
            <w:tcW w:w="815" w:type="pct"/>
            <w:noWrap w:val="0"/>
            <w:vAlign w:val="center"/>
          </w:tcPr>
          <w:p>
            <w:pPr>
              <w:spacing w:line="270" w:lineRule="atLeast"/>
              <w:jc w:val="center"/>
              <w:rPr>
                <w:b/>
                <w:color w:val="666666"/>
                <w:kern w:val="0"/>
                <w:sz w:val="18"/>
                <w:szCs w:val="18"/>
              </w:rPr>
            </w:pPr>
            <w:r>
              <w:rPr>
                <w:b/>
                <w:color w:val="666666"/>
                <w:kern w:val="0"/>
                <w:sz w:val="18"/>
                <w:szCs w:val="18"/>
              </w:rPr>
              <w:t>0.707/1/1.414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24" w:type="pct"/>
            <w:noWrap w:val="0"/>
            <w:vAlign w:val="center"/>
          </w:tcPr>
          <w:p>
            <w:pPr>
              <w:widowControl/>
              <w:spacing w:line="270" w:lineRule="atLeast"/>
              <w:jc w:val="center"/>
              <w:rPr>
                <w:b/>
                <w:color w:val="666666"/>
                <w:kern w:val="0"/>
                <w:sz w:val="18"/>
                <w:szCs w:val="18"/>
              </w:rPr>
            </w:pPr>
            <w:r>
              <w:rPr>
                <w:b/>
                <w:color w:val="666666"/>
                <w:kern w:val="0"/>
                <w:sz w:val="18"/>
                <w:szCs w:val="18"/>
              </w:rPr>
              <w:t>2Ω</w:t>
            </w:r>
          </w:p>
        </w:tc>
        <w:tc>
          <w:tcPr>
            <w:tcW w:w="944" w:type="pct"/>
            <w:noWrap w:val="0"/>
            <w:vAlign w:val="center"/>
          </w:tcPr>
          <w:p>
            <w:pPr>
              <w:widowControl/>
              <w:spacing w:line="270" w:lineRule="atLeast"/>
              <w:jc w:val="center"/>
              <w:rPr>
                <w:b/>
                <w:color w:val="666666"/>
                <w:kern w:val="0"/>
                <w:sz w:val="18"/>
                <w:szCs w:val="18"/>
              </w:rPr>
            </w:pPr>
            <w:r>
              <w:rPr>
                <w:b/>
                <w:color w:val="666666"/>
                <w:kern w:val="0"/>
                <w:sz w:val="18"/>
                <w:szCs w:val="18"/>
              </w:rPr>
              <w:t>0-1.99999Ω</w:t>
            </w:r>
          </w:p>
        </w:tc>
        <w:tc>
          <w:tcPr>
            <w:tcW w:w="661" w:type="pct"/>
            <w:noWrap w:val="0"/>
            <w:vAlign w:val="center"/>
          </w:tcPr>
          <w:p>
            <w:pPr>
              <w:widowControl/>
              <w:spacing w:line="270" w:lineRule="atLeast"/>
              <w:jc w:val="center"/>
              <w:rPr>
                <w:b/>
                <w:color w:val="666666"/>
                <w:kern w:val="0"/>
                <w:sz w:val="18"/>
                <w:szCs w:val="18"/>
              </w:rPr>
            </w:pPr>
            <w:r>
              <w:rPr>
                <w:b/>
                <w:color w:val="666666"/>
                <w:kern w:val="0"/>
                <w:sz w:val="18"/>
                <w:szCs w:val="18"/>
              </w:rPr>
              <w:t>10</w:t>
            </w:r>
            <w:r>
              <w:rPr>
                <w:b/>
                <w:color w:val="666666"/>
                <w:kern w:val="0"/>
                <w:szCs w:val="21"/>
              </w:rPr>
              <w:t>μ</w:t>
            </w:r>
            <w:r>
              <w:rPr>
                <w:b/>
                <w:color w:val="666666"/>
                <w:kern w:val="0"/>
                <w:sz w:val="18"/>
                <w:szCs w:val="18"/>
              </w:rPr>
              <w:t>Ω</w:t>
            </w:r>
          </w:p>
        </w:tc>
        <w:tc>
          <w:tcPr>
            <w:tcW w:w="943" w:type="pct"/>
            <w:noWrap w:val="0"/>
            <w:vAlign w:val="center"/>
          </w:tcPr>
          <w:p>
            <w:pPr>
              <w:widowControl/>
              <w:spacing w:line="270" w:lineRule="atLeast"/>
              <w:jc w:val="center"/>
              <w:rPr>
                <w:b/>
                <w:color w:val="666666"/>
                <w:kern w:val="0"/>
                <w:sz w:val="18"/>
                <w:szCs w:val="18"/>
              </w:rPr>
            </w:pPr>
            <w:r>
              <w:rPr>
                <w:b/>
                <w:color w:val="666666"/>
                <w:kern w:val="0"/>
                <w:sz w:val="18"/>
                <w:szCs w:val="18"/>
              </w:rPr>
              <w:t>±0.01A</w:t>
            </w:r>
          </w:p>
        </w:tc>
        <w:tc>
          <w:tcPr>
            <w:tcW w:w="814" w:type="pct"/>
            <w:noWrap w:val="0"/>
            <w:vAlign w:val="center"/>
          </w:tcPr>
          <w:p>
            <w:pPr>
              <w:widowControl/>
              <w:spacing w:line="270" w:lineRule="atLeast"/>
              <w:jc w:val="center"/>
              <w:rPr>
                <w:b/>
                <w:color w:val="666666"/>
                <w:kern w:val="0"/>
                <w:sz w:val="18"/>
                <w:szCs w:val="18"/>
              </w:rPr>
            </w:pPr>
            <w:r>
              <w:rPr>
                <w:b/>
                <w:color w:val="666666"/>
                <w:kern w:val="0"/>
                <w:sz w:val="18"/>
                <w:szCs w:val="18"/>
              </w:rPr>
              <w:t>0.0</w:t>
            </w:r>
            <w:r>
              <w:rPr>
                <w:rFonts w:hint="eastAsia"/>
                <w:b/>
                <w:color w:val="666666"/>
                <w:kern w:val="0"/>
                <w:sz w:val="18"/>
                <w:szCs w:val="18"/>
              </w:rPr>
              <w:t>5</w:t>
            </w:r>
            <w:r>
              <w:rPr>
                <w:b/>
                <w:color w:val="666666"/>
                <w:kern w:val="0"/>
                <w:sz w:val="18"/>
                <w:szCs w:val="18"/>
              </w:rPr>
              <w:t>%</w:t>
            </w:r>
          </w:p>
        </w:tc>
        <w:tc>
          <w:tcPr>
            <w:tcW w:w="815" w:type="pct"/>
            <w:noWrap w:val="0"/>
            <w:vAlign w:val="center"/>
          </w:tcPr>
          <w:p>
            <w:pPr>
              <w:spacing w:line="270" w:lineRule="atLeast"/>
              <w:jc w:val="center"/>
              <w:rPr>
                <w:b/>
                <w:color w:val="666666"/>
                <w:kern w:val="0"/>
                <w:sz w:val="18"/>
                <w:szCs w:val="18"/>
              </w:rPr>
            </w:pPr>
            <w:r>
              <w:rPr>
                <w:b/>
                <w:color w:val="666666"/>
                <w:kern w:val="0"/>
                <w:sz w:val="18"/>
                <w:szCs w:val="18"/>
              </w:rPr>
              <w:t>0.707/1/1.414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24" w:type="pct"/>
            <w:noWrap w:val="0"/>
            <w:vAlign w:val="center"/>
          </w:tcPr>
          <w:p>
            <w:pPr>
              <w:widowControl/>
              <w:spacing w:line="270" w:lineRule="atLeast"/>
              <w:jc w:val="center"/>
              <w:rPr>
                <w:b/>
                <w:color w:val="666666"/>
                <w:kern w:val="0"/>
                <w:sz w:val="18"/>
                <w:szCs w:val="18"/>
              </w:rPr>
            </w:pPr>
            <w:r>
              <w:rPr>
                <w:b/>
                <w:color w:val="666666"/>
                <w:kern w:val="0"/>
                <w:sz w:val="18"/>
                <w:szCs w:val="18"/>
              </w:rPr>
              <w:t> 20Ω</w:t>
            </w:r>
          </w:p>
        </w:tc>
        <w:tc>
          <w:tcPr>
            <w:tcW w:w="944" w:type="pct"/>
            <w:noWrap w:val="0"/>
            <w:vAlign w:val="center"/>
          </w:tcPr>
          <w:p>
            <w:pPr>
              <w:widowControl/>
              <w:spacing w:line="270" w:lineRule="atLeast"/>
              <w:jc w:val="center"/>
              <w:rPr>
                <w:b/>
                <w:color w:val="666666"/>
                <w:kern w:val="0"/>
                <w:sz w:val="18"/>
                <w:szCs w:val="18"/>
              </w:rPr>
            </w:pPr>
            <w:r>
              <w:rPr>
                <w:b/>
                <w:color w:val="666666"/>
                <w:kern w:val="0"/>
                <w:sz w:val="18"/>
                <w:szCs w:val="18"/>
              </w:rPr>
              <w:t>0-19.9999Ω</w:t>
            </w:r>
          </w:p>
        </w:tc>
        <w:tc>
          <w:tcPr>
            <w:tcW w:w="661" w:type="pct"/>
            <w:noWrap w:val="0"/>
            <w:vAlign w:val="center"/>
          </w:tcPr>
          <w:p>
            <w:pPr>
              <w:widowControl/>
              <w:spacing w:line="270" w:lineRule="atLeast"/>
              <w:jc w:val="center"/>
              <w:rPr>
                <w:b/>
                <w:color w:val="666666"/>
                <w:kern w:val="0"/>
                <w:sz w:val="18"/>
                <w:szCs w:val="18"/>
              </w:rPr>
            </w:pPr>
            <w:r>
              <w:rPr>
                <w:b/>
                <w:color w:val="666666"/>
                <w:kern w:val="0"/>
                <w:sz w:val="18"/>
                <w:szCs w:val="18"/>
              </w:rPr>
              <w:t>100</w:t>
            </w:r>
            <w:r>
              <w:rPr>
                <w:b/>
                <w:color w:val="666666"/>
                <w:kern w:val="0"/>
                <w:szCs w:val="21"/>
              </w:rPr>
              <w:t>μ</w:t>
            </w:r>
            <w:r>
              <w:rPr>
                <w:b/>
                <w:color w:val="666666"/>
                <w:kern w:val="0"/>
                <w:sz w:val="18"/>
                <w:szCs w:val="18"/>
              </w:rPr>
              <w:t>Ω</w:t>
            </w:r>
          </w:p>
        </w:tc>
        <w:tc>
          <w:tcPr>
            <w:tcW w:w="943" w:type="pct"/>
            <w:noWrap w:val="0"/>
            <w:vAlign w:val="center"/>
          </w:tcPr>
          <w:p>
            <w:pPr>
              <w:widowControl/>
              <w:spacing w:line="270" w:lineRule="atLeast"/>
              <w:jc w:val="center"/>
              <w:rPr>
                <w:b/>
                <w:color w:val="666666"/>
                <w:kern w:val="0"/>
                <w:sz w:val="18"/>
                <w:szCs w:val="18"/>
              </w:rPr>
            </w:pPr>
            <w:r>
              <w:rPr>
                <w:b/>
                <w:color w:val="666666"/>
                <w:kern w:val="0"/>
                <w:sz w:val="18"/>
                <w:szCs w:val="18"/>
              </w:rPr>
              <w:t>1 mA</w:t>
            </w:r>
          </w:p>
        </w:tc>
        <w:tc>
          <w:tcPr>
            <w:tcW w:w="814" w:type="pct"/>
            <w:noWrap w:val="0"/>
            <w:vAlign w:val="center"/>
          </w:tcPr>
          <w:p>
            <w:pPr>
              <w:widowControl/>
              <w:spacing w:line="270" w:lineRule="atLeast"/>
              <w:jc w:val="center"/>
              <w:rPr>
                <w:b/>
                <w:color w:val="666666"/>
                <w:kern w:val="0"/>
                <w:sz w:val="18"/>
                <w:szCs w:val="18"/>
              </w:rPr>
            </w:pPr>
            <w:r>
              <w:rPr>
                <w:b/>
                <w:color w:val="666666"/>
                <w:kern w:val="0"/>
                <w:sz w:val="18"/>
                <w:szCs w:val="18"/>
              </w:rPr>
              <w:t>0.0</w:t>
            </w:r>
            <w:r>
              <w:rPr>
                <w:rFonts w:hint="eastAsia"/>
                <w:b/>
                <w:color w:val="666666"/>
                <w:kern w:val="0"/>
                <w:sz w:val="18"/>
                <w:szCs w:val="18"/>
              </w:rPr>
              <w:t>5</w:t>
            </w:r>
            <w:r>
              <w:rPr>
                <w:b/>
                <w:color w:val="666666"/>
                <w:kern w:val="0"/>
                <w:sz w:val="18"/>
                <w:szCs w:val="18"/>
              </w:rPr>
              <w:t>%</w:t>
            </w:r>
          </w:p>
        </w:tc>
        <w:tc>
          <w:tcPr>
            <w:tcW w:w="815" w:type="pct"/>
            <w:noWrap w:val="0"/>
            <w:vAlign w:val="center"/>
          </w:tcPr>
          <w:p>
            <w:pPr>
              <w:spacing w:line="270" w:lineRule="atLeast"/>
              <w:jc w:val="center"/>
              <w:rPr>
                <w:b/>
                <w:color w:val="666666"/>
                <w:kern w:val="0"/>
                <w:sz w:val="18"/>
                <w:szCs w:val="18"/>
              </w:rPr>
            </w:pPr>
            <w:r>
              <w:rPr>
                <w:b/>
                <w:color w:val="666666"/>
                <w:kern w:val="0"/>
                <w:sz w:val="18"/>
                <w:szCs w:val="18"/>
              </w:rPr>
              <w:t>0.707/1/1.414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24" w:type="pct"/>
            <w:noWrap w:val="0"/>
            <w:vAlign w:val="center"/>
          </w:tcPr>
          <w:p>
            <w:pPr>
              <w:widowControl/>
              <w:spacing w:line="270" w:lineRule="atLeast"/>
              <w:jc w:val="center"/>
              <w:rPr>
                <w:b/>
                <w:color w:val="666666"/>
                <w:kern w:val="0"/>
                <w:sz w:val="18"/>
                <w:szCs w:val="18"/>
              </w:rPr>
            </w:pPr>
            <w:r>
              <w:rPr>
                <w:b/>
                <w:color w:val="666666"/>
                <w:kern w:val="0"/>
                <w:sz w:val="18"/>
                <w:szCs w:val="18"/>
              </w:rPr>
              <w:t>200Ω</w:t>
            </w:r>
          </w:p>
        </w:tc>
        <w:tc>
          <w:tcPr>
            <w:tcW w:w="944" w:type="pct"/>
            <w:noWrap w:val="0"/>
            <w:vAlign w:val="center"/>
          </w:tcPr>
          <w:p>
            <w:pPr>
              <w:widowControl/>
              <w:spacing w:line="270" w:lineRule="atLeast"/>
              <w:jc w:val="center"/>
              <w:rPr>
                <w:b/>
                <w:color w:val="666666"/>
                <w:kern w:val="0"/>
                <w:sz w:val="18"/>
                <w:szCs w:val="18"/>
              </w:rPr>
            </w:pPr>
            <w:r>
              <w:rPr>
                <w:b/>
                <w:color w:val="666666"/>
                <w:kern w:val="0"/>
                <w:sz w:val="18"/>
                <w:szCs w:val="18"/>
              </w:rPr>
              <w:t> 0-199.999Ω</w:t>
            </w:r>
          </w:p>
        </w:tc>
        <w:tc>
          <w:tcPr>
            <w:tcW w:w="661" w:type="pct"/>
            <w:noWrap w:val="0"/>
            <w:vAlign w:val="center"/>
          </w:tcPr>
          <w:p>
            <w:pPr>
              <w:widowControl/>
              <w:spacing w:line="270" w:lineRule="atLeast"/>
              <w:jc w:val="center"/>
              <w:rPr>
                <w:b/>
                <w:color w:val="666666"/>
                <w:kern w:val="0"/>
                <w:sz w:val="18"/>
                <w:szCs w:val="18"/>
              </w:rPr>
            </w:pPr>
            <w:r>
              <w:rPr>
                <w:b/>
                <w:color w:val="666666"/>
                <w:kern w:val="0"/>
                <w:sz w:val="18"/>
                <w:szCs w:val="18"/>
              </w:rPr>
              <w:t>1mΩ</w:t>
            </w:r>
          </w:p>
        </w:tc>
        <w:tc>
          <w:tcPr>
            <w:tcW w:w="943" w:type="pct"/>
            <w:noWrap w:val="0"/>
            <w:vAlign w:val="center"/>
          </w:tcPr>
          <w:p>
            <w:pPr>
              <w:widowControl/>
              <w:spacing w:line="270" w:lineRule="atLeast"/>
              <w:jc w:val="center"/>
              <w:rPr>
                <w:b/>
                <w:color w:val="666666"/>
                <w:kern w:val="0"/>
                <w:sz w:val="18"/>
                <w:szCs w:val="18"/>
              </w:rPr>
            </w:pPr>
            <w:r>
              <w:rPr>
                <w:b/>
                <w:color w:val="666666"/>
                <w:kern w:val="0"/>
                <w:sz w:val="18"/>
                <w:szCs w:val="18"/>
              </w:rPr>
              <w:t>0.1mA</w:t>
            </w:r>
          </w:p>
        </w:tc>
        <w:tc>
          <w:tcPr>
            <w:tcW w:w="814" w:type="pct"/>
            <w:noWrap w:val="0"/>
            <w:vAlign w:val="center"/>
          </w:tcPr>
          <w:p>
            <w:pPr>
              <w:widowControl/>
              <w:spacing w:line="270" w:lineRule="atLeast"/>
              <w:jc w:val="center"/>
              <w:rPr>
                <w:b/>
                <w:color w:val="666666"/>
                <w:kern w:val="0"/>
                <w:sz w:val="18"/>
                <w:szCs w:val="18"/>
              </w:rPr>
            </w:pPr>
            <w:r>
              <w:rPr>
                <w:b/>
                <w:color w:val="666666"/>
                <w:kern w:val="0"/>
                <w:sz w:val="18"/>
                <w:szCs w:val="18"/>
              </w:rPr>
              <w:t>0.0</w:t>
            </w:r>
            <w:r>
              <w:rPr>
                <w:rFonts w:hint="eastAsia"/>
                <w:b/>
                <w:color w:val="666666"/>
                <w:kern w:val="0"/>
                <w:sz w:val="18"/>
                <w:szCs w:val="18"/>
              </w:rPr>
              <w:t>5</w:t>
            </w:r>
            <w:r>
              <w:rPr>
                <w:b/>
                <w:color w:val="666666"/>
                <w:kern w:val="0"/>
                <w:sz w:val="18"/>
                <w:szCs w:val="18"/>
              </w:rPr>
              <w:t>%</w:t>
            </w:r>
          </w:p>
        </w:tc>
        <w:tc>
          <w:tcPr>
            <w:tcW w:w="815" w:type="pct"/>
            <w:noWrap w:val="0"/>
            <w:vAlign w:val="center"/>
          </w:tcPr>
          <w:p>
            <w:pPr>
              <w:widowControl/>
              <w:spacing w:line="270" w:lineRule="atLeast"/>
              <w:jc w:val="center"/>
              <w:rPr>
                <w:b/>
                <w:color w:val="666666"/>
                <w:kern w:val="0"/>
                <w:sz w:val="18"/>
                <w:szCs w:val="18"/>
              </w:rPr>
            </w:pPr>
            <w:r>
              <w:rPr>
                <w:b/>
                <w:color w:val="666666"/>
                <w:kern w:val="0"/>
                <w:sz w:val="18"/>
                <w:szCs w:val="18"/>
              </w:rPr>
              <w:t>0.707/1/1.414</w:t>
            </w:r>
          </w:p>
        </w:tc>
      </w:tr>
    </w:tbl>
    <w:p>
      <w:pPr>
        <w:ind w:firstLine="560" w:firstLineChars="200"/>
        <w:rPr>
          <w:rFonts w:hint="default" w:ascii="宋体" w:hAnsi="宋体"/>
          <w:sz w:val="28"/>
          <w:szCs w:val="28"/>
          <w:lang w:val="en-US" w:eastAsia="zh-CN"/>
        </w:rPr>
      </w:pPr>
    </w:p>
    <w:p>
      <w:pPr>
        <w:numPr>
          <w:ilvl w:val="0"/>
          <w:numId w:val="1"/>
        </w:numPr>
        <w:snapToGrid w:val="0"/>
        <w:spacing w:line="360" w:lineRule="auto"/>
        <w:ind w:left="420" w:leftChars="0" w:firstLine="0" w:firstLineChars="0"/>
        <w:jc w:val="both"/>
        <w:outlineLvl w:val="0"/>
        <w:rPr>
          <w:rFonts w:hint="eastAsia" w:ascii="宋体" w:hAnsi="宋体"/>
          <w:sz w:val="28"/>
          <w:szCs w:val="28"/>
          <w:lang w:val="en-US" w:eastAsia="zh-CN"/>
        </w:rPr>
      </w:pPr>
      <w:r>
        <w:rPr>
          <w:rFonts w:hint="eastAsia" w:ascii="宋体" w:hAnsi="宋体"/>
          <w:sz w:val="28"/>
          <w:szCs w:val="28"/>
          <w:lang w:val="en-US" w:eastAsia="zh-CN"/>
        </w:rPr>
        <w:t>全系列电线电缆导体电阻测量、不小于1500mm</w:t>
      </w:r>
      <w:r>
        <w:rPr>
          <w:rFonts w:hint="eastAsia" w:ascii="宋体" w:hAnsi="宋体"/>
          <w:sz w:val="28"/>
          <w:szCs w:val="28"/>
          <w:vertAlign w:val="superscript"/>
          <w:lang w:val="en-US" w:eastAsia="zh-CN"/>
        </w:rPr>
        <w:t>2</w:t>
      </w:r>
      <w:r>
        <w:rPr>
          <w:rFonts w:hint="eastAsia" w:ascii="宋体" w:hAnsi="宋体"/>
          <w:sz w:val="28"/>
          <w:szCs w:val="28"/>
          <w:lang w:val="en-US" w:eastAsia="zh-CN"/>
        </w:rPr>
        <w:t>的铜排电阻测量。</w:t>
      </w:r>
    </w:p>
    <w:p>
      <w:pPr>
        <w:numPr>
          <w:ilvl w:val="0"/>
          <w:numId w:val="1"/>
        </w:numPr>
        <w:snapToGrid w:val="0"/>
        <w:spacing w:line="360" w:lineRule="auto"/>
        <w:ind w:left="420" w:leftChars="0" w:firstLine="0" w:firstLineChars="0"/>
        <w:jc w:val="both"/>
        <w:outlineLvl w:val="0"/>
        <w:rPr>
          <w:rFonts w:hint="default" w:ascii="宋体" w:hAnsi="宋体"/>
          <w:sz w:val="28"/>
          <w:szCs w:val="28"/>
          <w:lang w:val="en-US" w:eastAsia="zh-CN"/>
        </w:rPr>
      </w:pPr>
      <w:r>
        <w:rPr>
          <w:rFonts w:hint="eastAsia" w:ascii="宋体" w:hAnsi="宋体"/>
          <w:sz w:val="28"/>
          <w:szCs w:val="28"/>
          <w:lang w:val="en-US" w:eastAsia="zh-CN"/>
        </w:rPr>
        <w:t>配套可测不低于150毫米宽度铜排的夹具</w:t>
      </w:r>
    </w:p>
    <w:p>
      <w:pPr>
        <w:numPr>
          <w:ilvl w:val="0"/>
          <w:numId w:val="1"/>
        </w:numPr>
        <w:snapToGrid w:val="0"/>
        <w:spacing w:line="360" w:lineRule="auto"/>
        <w:ind w:left="420" w:leftChars="0" w:firstLine="0" w:firstLineChars="0"/>
        <w:jc w:val="both"/>
        <w:outlineLvl w:val="0"/>
        <w:rPr>
          <w:rFonts w:hint="default" w:ascii="宋体" w:hAnsi="宋体"/>
          <w:sz w:val="28"/>
          <w:szCs w:val="28"/>
          <w:lang w:val="en-US" w:eastAsia="zh-CN"/>
        </w:rPr>
      </w:pPr>
      <w:r>
        <w:rPr>
          <w:rFonts w:hint="eastAsia" w:ascii="宋体" w:hAnsi="宋体"/>
          <w:sz w:val="28"/>
          <w:szCs w:val="28"/>
          <w:lang w:val="en-US" w:eastAsia="zh-CN"/>
        </w:rPr>
        <w:t>提供详细的设备操作指导书</w:t>
      </w:r>
    </w:p>
    <w:p>
      <w:pPr>
        <w:snapToGrid w:val="0"/>
        <w:spacing w:line="360" w:lineRule="auto"/>
        <w:jc w:val="both"/>
        <w:outlineLvl w:val="0"/>
        <w:rPr>
          <w:rFonts w:hint="default"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ascii="宋体" w:hAnsi="宋体"/>
          <w:b/>
          <w:sz w:val="36"/>
          <w:szCs w:val="36"/>
        </w:rPr>
      </w:pPr>
      <w:r>
        <w:rPr>
          <w:rFonts w:hint="eastAsia" w:ascii="宋体" w:hAnsi="宋体"/>
          <w:sz w:val="28"/>
          <w:szCs w:val="28"/>
          <w:lang w:val="en-US" w:eastAsia="zh-CN"/>
        </w:rPr>
        <w:t xml:space="preserve"> </w:t>
      </w:r>
      <w:r>
        <w:rPr>
          <w:rFonts w:hint="eastAsia" w:ascii="宋体" w:hAnsi="宋体"/>
          <w:b/>
          <w:sz w:val="36"/>
          <w:szCs w:val="36"/>
        </w:rPr>
        <w:t>三、  投标</w:t>
      </w:r>
      <w:r>
        <w:rPr>
          <w:rFonts w:hint="eastAsia" w:ascii="宋体" w:hAnsi="宋体"/>
          <w:b/>
          <w:sz w:val="36"/>
          <w:szCs w:val="36"/>
          <w:lang w:eastAsia="zh-CN"/>
        </w:rPr>
        <w:t>要求</w:t>
      </w:r>
      <w:r>
        <w:rPr>
          <w:rFonts w:hint="eastAsia" w:ascii="宋体" w:hAnsi="宋体"/>
          <w:b/>
          <w:sz w:val="36"/>
          <w:szCs w:val="36"/>
        </w:rPr>
        <w:t>及内容</w:t>
      </w:r>
    </w:p>
    <w:p>
      <w:pPr>
        <w:ind w:firstLine="0" w:firstLineChars="0"/>
        <w:rPr>
          <w:rFonts w:ascii="宋体" w:hAnsi="宋体"/>
          <w:sz w:val="28"/>
          <w:szCs w:val="28"/>
        </w:rPr>
      </w:pPr>
      <w:r>
        <w:rPr>
          <w:rFonts w:hint="eastAsia" w:ascii="宋体" w:hAnsi="宋体"/>
          <w:sz w:val="28"/>
          <w:szCs w:val="28"/>
          <w:lang w:eastAsia="zh-CN"/>
        </w:rPr>
        <w:t>一</w:t>
      </w:r>
      <w:r>
        <w:rPr>
          <w:rFonts w:hint="eastAsia" w:ascii="宋体" w:hAnsi="宋体"/>
          <w:sz w:val="28"/>
          <w:szCs w:val="28"/>
        </w:rPr>
        <w:t>、投标人应当具备的主要资格条件及要求</w:t>
      </w:r>
    </w:p>
    <w:p>
      <w:pPr>
        <w:ind w:firstLine="560" w:firstLineChars="200"/>
        <w:rPr>
          <w:rFonts w:hint="eastAsia" w:ascii="宋体" w:hAnsi="宋体"/>
          <w:sz w:val="28"/>
          <w:szCs w:val="28"/>
        </w:rPr>
      </w:pPr>
      <w:r>
        <w:rPr>
          <w:rFonts w:hint="eastAsia" w:ascii="宋体" w:hAnsi="宋体"/>
          <w:sz w:val="28"/>
          <w:szCs w:val="28"/>
        </w:rPr>
        <w:t>1、</w:t>
      </w:r>
      <w:r>
        <w:rPr>
          <w:rFonts w:ascii="宋体" w:hAnsi="宋体"/>
          <w:sz w:val="28"/>
          <w:szCs w:val="28"/>
        </w:rPr>
        <w:t>投标人资质类别和等级：取得有效的安全生产许可的独立法人。</w:t>
      </w:r>
    </w:p>
    <w:p>
      <w:pPr>
        <w:ind w:firstLine="560" w:firstLineChars="200"/>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w:t>
      </w:r>
      <w:r>
        <w:rPr>
          <w:rFonts w:ascii="宋体" w:hAnsi="宋体"/>
          <w:sz w:val="28"/>
          <w:szCs w:val="28"/>
        </w:rPr>
        <w:t>本次招标，招标人一律不接受联合体投标报名。</w:t>
      </w:r>
    </w:p>
    <w:p>
      <w:pPr>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w:t>
      </w:r>
      <w:r>
        <w:rPr>
          <w:rFonts w:ascii="宋体" w:hAnsi="宋体"/>
          <w:sz w:val="28"/>
          <w:szCs w:val="28"/>
        </w:rPr>
        <w:t>报名人有不良行为的，在公示期间招标人拒绝其投标报名。</w:t>
      </w:r>
    </w:p>
    <w:p>
      <w:pPr>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本项目严禁挂靠。招标项目公示之后、中标通知书发出之前履行约谈法定代表人的程序，如此时发现挂靠，</w:t>
      </w:r>
      <w:r>
        <w:rPr>
          <w:rFonts w:hint="eastAsia" w:ascii="宋体" w:hAnsi="宋体"/>
          <w:sz w:val="28"/>
          <w:szCs w:val="28"/>
        </w:rPr>
        <w:t>①</w:t>
      </w:r>
      <w:r>
        <w:rPr>
          <w:rFonts w:ascii="宋体" w:hAnsi="宋体"/>
          <w:sz w:val="28"/>
          <w:szCs w:val="28"/>
        </w:rPr>
        <w:t>取消其中标资格；</w:t>
      </w:r>
      <w:r>
        <w:rPr>
          <w:rFonts w:hint="eastAsia" w:ascii="宋体" w:hAnsi="宋体"/>
          <w:sz w:val="28"/>
          <w:szCs w:val="28"/>
        </w:rPr>
        <w:t>②</w:t>
      </w:r>
      <w:r>
        <w:rPr>
          <w:rFonts w:ascii="宋体" w:hAnsi="宋体"/>
          <w:sz w:val="28"/>
          <w:szCs w:val="28"/>
        </w:rPr>
        <w:t>追究其耽误招标人工期、各项费用损失之法律责任。如在中标之后发现其挂靠，则</w:t>
      </w:r>
      <w:r>
        <w:rPr>
          <w:rFonts w:hint="eastAsia" w:ascii="宋体" w:hAnsi="宋体"/>
          <w:sz w:val="28"/>
          <w:szCs w:val="28"/>
        </w:rPr>
        <w:t>①</w:t>
      </w:r>
      <w:r>
        <w:rPr>
          <w:rFonts w:ascii="宋体" w:hAnsi="宋体"/>
          <w:sz w:val="28"/>
          <w:szCs w:val="28"/>
        </w:rPr>
        <w:t>立即清退出场；</w:t>
      </w:r>
      <w:r>
        <w:rPr>
          <w:rFonts w:hint="eastAsia" w:ascii="宋体" w:hAnsi="宋体"/>
          <w:sz w:val="28"/>
          <w:szCs w:val="28"/>
        </w:rPr>
        <w:t>②</w:t>
      </w:r>
      <w:r>
        <w:rPr>
          <w:rFonts w:ascii="宋体" w:hAnsi="宋体"/>
          <w:sz w:val="28"/>
          <w:szCs w:val="28"/>
        </w:rPr>
        <w:t>没收全部履约保证金；</w:t>
      </w:r>
      <w:r>
        <w:rPr>
          <w:rFonts w:hint="eastAsia" w:ascii="宋体" w:hAnsi="宋体"/>
          <w:sz w:val="28"/>
          <w:szCs w:val="28"/>
        </w:rPr>
        <w:t>③</w:t>
      </w:r>
      <w:r>
        <w:rPr>
          <w:rFonts w:ascii="宋体" w:hAnsi="宋体"/>
          <w:sz w:val="28"/>
          <w:szCs w:val="28"/>
        </w:rPr>
        <w:t>承担招标人延期施工等一切损失；</w:t>
      </w:r>
      <w:r>
        <w:rPr>
          <w:rFonts w:hint="eastAsia" w:ascii="宋体" w:hAnsi="宋体"/>
          <w:sz w:val="28"/>
          <w:szCs w:val="28"/>
        </w:rPr>
        <w:t>④</w:t>
      </w:r>
      <w:r>
        <w:rPr>
          <w:rFonts w:ascii="宋体" w:hAnsi="宋体"/>
          <w:sz w:val="28"/>
          <w:szCs w:val="28"/>
        </w:rPr>
        <w:t>终身禁止参与</w:t>
      </w:r>
      <w:r>
        <w:rPr>
          <w:rFonts w:hint="eastAsia" w:ascii="宋体" w:hAnsi="宋体"/>
          <w:sz w:val="28"/>
          <w:szCs w:val="28"/>
        </w:rPr>
        <w:t>公司</w:t>
      </w:r>
      <w:r>
        <w:rPr>
          <w:rFonts w:ascii="宋体" w:hAnsi="宋体"/>
          <w:sz w:val="28"/>
          <w:szCs w:val="28"/>
        </w:rPr>
        <w:t>所有项目；</w:t>
      </w:r>
      <w:r>
        <w:rPr>
          <w:rFonts w:hint="eastAsia" w:ascii="宋体" w:hAnsi="宋体"/>
          <w:sz w:val="28"/>
          <w:szCs w:val="28"/>
        </w:rPr>
        <w:t>⑤</w:t>
      </w:r>
      <w:r>
        <w:rPr>
          <w:rFonts w:ascii="宋体" w:hAnsi="宋体"/>
          <w:sz w:val="28"/>
          <w:szCs w:val="28"/>
        </w:rPr>
        <w:t>上报建设主管部门，将其列入黑名单。</w:t>
      </w:r>
    </w:p>
    <w:p>
      <w:pPr>
        <w:rPr>
          <w:rFonts w:ascii="宋体" w:hAnsi="宋体"/>
          <w:sz w:val="28"/>
          <w:szCs w:val="28"/>
        </w:rPr>
      </w:pPr>
    </w:p>
    <w:p>
      <w:pPr>
        <w:rPr>
          <w:rFonts w:ascii="宋体" w:hAnsi="宋体"/>
          <w:sz w:val="28"/>
          <w:szCs w:val="28"/>
        </w:rPr>
      </w:pPr>
      <w:r>
        <w:rPr>
          <w:rFonts w:hint="eastAsia" w:ascii="宋体" w:hAnsi="宋体"/>
          <w:sz w:val="28"/>
          <w:szCs w:val="28"/>
          <w:lang w:eastAsia="zh-CN"/>
        </w:rPr>
        <w:t>二</w:t>
      </w:r>
      <w:r>
        <w:rPr>
          <w:rFonts w:hint="eastAsia" w:ascii="宋体" w:hAnsi="宋体"/>
          <w:sz w:val="28"/>
          <w:szCs w:val="28"/>
        </w:rPr>
        <w:t>、投标截止时间前</w:t>
      </w:r>
      <w:r>
        <w:rPr>
          <w:rFonts w:ascii="宋体" w:hAnsi="宋体"/>
          <w:sz w:val="28"/>
          <w:szCs w:val="28"/>
        </w:rPr>
        <w:t>应将投标文件</w:t>
      </w:r>
      <w:r>
        <w:rPr>
          <w:rFonts w:hint="eastAsia" w:ascii="宋体" w:hAnsi="宋体"/>
          <w:sz w:val="28"/>
          <w:szCs w:val="28"/>
        </w:rPr>
        <w:t>送至约定地点。投标文件包含：</w:t>
      </w:r>
    </w:p>
    <w:p>
      <w:pPr>
        <w:ind w:firstLine="560" w:firstLineChars="200"/>
        <w:rPr>
          <w:rFonts w:hint="eastAsia" w:ascii="宋体" w:hAnsi="宋体"/>
          <w:sz w:val="28"/>
          <w:szCs w:val="28"/>
        </w:rPr>
      </w:pPr>
      <w:r>
        <w:rPr>
          <w:rFonts w:hint="eastAsia" w:ascii="宋体" w:hAnsi="宋体"/>
          <w:sz w:val="28"/>
          <w:szCs w:val="28"/>
        </w:rPr>
        <w:t>1、授权委托书（格式详见附件</w:t>
      </w:r>
      <w:r>
        <w:rPr>
          <w:rFonts w:hint="eastAsia" w:ascii="宋体" w:hAnsi="宋体"/>
          <w:sz w:val="28"/>
          <w:szCs w:val="28"/>
          <w:lang w:val="en-US" w:eastAsia="zh-CN"/>
        </w:rPr>
        <w:t>2</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、营业执照（副本）复印件；</w:t>
      </w:r>
    </w:p>
    <w:p>
      <w:pPr>
        <w:ind w:firstLine="560" w:firstLineChars="200"/>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3</w:t>
      </w:r>
      <w:r>
        <w:rPr>
          <w:rFonts w:hint="eastAsia" w:ascii="宋体" w:hAnsi="宋体" w:eastAsia="宋体" w:cs="Times New Roman"/>
          <w:sz w:val="28"/>
          <w:szCs w:val="28"/>
          <w:lang w:val="en-US" w:eastAsia="zh-CN"/>
        </w:rPr>
        <w:t>、报价</w:t>
      </w:r>
      <w:r>
        <w:rPr>
          <w:rFonts w:hint="eastAsia" w:ascii="宋体" w:hAnsi="宋体" w:cs="Times New Roman"/>
          <w:sz w:val="28"/>
          <w:szCs w:val="28"/>
          <w:lang w:val="en-US" w:eastAsia="zh-CN"/>
        </w:rPr>
        <w:t>单；</w:t>
      </w:r>
    </w:p>
    <w:p>
      <w:pPr>
        <w:ind w:firstLine="560" w:firstLineChars="200"/>
        <w:rPr>
          <w:rFonts w:hint="eastAsia" w:ascii="宋体" w:hAnsi="宋体" w:eastAsia="宋体" w:cs="Times New Roman"/>
          <w:sz w:val="28"/>
          <w:szCs w:val="28"/>
          <w:lang w:eastAsia="zh-CN"/>
        </w:rPr>
      </w:pPr>
      <w:r>
        <w:rPr>
          <w:rFonts w:hint="eastAsia" w:ascii="宋体" w:hAnsi="宋体" w:cs="Times New Roman"/>
          <w:sz w:val="28"/>
          <w:szCs w:val="28"/>
          <w:lang w:val="en-US" w:eastAsia="zh-CN"/>
        </w:rPr>
        <w:t>4</w:t>
      </w:r>
      <w:r>
        <w:rPr>
          <w:rFonts w:hint="eastAsia" w:ascii="宋体" w:hAnsi="宋体" w:eastAsia="宋体" w:cs="Times New Roman"/>
          <w:sz w:val="28"/>
          <w:szCs w:val="28"/>
        </w:rPr>
        <w:t>、投标方认为应补充的其它商务资料</w:t>
      </w:r>
      <w:r>
        <w:rPr>
          <w:rFonts w:hint="eastAsia" w:ascii="宋体" w:hAnsi="宋体" w:cs="Times New Roman"/>
          <w:sz w:val="28"/>
          <w:szCs w:val="28"/>
          <w:lang w:eastAsia="zh-CN"/>
        </w:rPr>
        <w:t>；</w:t>
      </w:r>
    </w:p>
    <w:p>
      <w:pPr>
        <w:ind w:firstLine="560" w:firstLineChars="200"/>
        <w:rPr>
          <w:rFonts w:hint="eastAsia" w:ascii="宋体" w:hAnsi="宋体" w:eastAsia="宋体" w:cs="Times New Roman"/>
          <w:sz w:val="28"/>
          <w:szCs w:val="28"/>
          <w:lang w:eastAsia="zh-CN"/>
        </w:rPr>
      </w:pPr>
      <w:r>
        <w:rPr>
          <w:rFonts w:hint="eastAsia" w:ascii="宋体" w:hAnsi="宋体" w:cs="Times New Roman"/>
          <w:sz w:val="28"/>
          <w:szCs w:val="28"/>
          <w:lang w:val="en-US" w:eastAsia="zh-CN"/>
        </w:rPr>
        <w:t>5、</w:t>
      </w:r>
      <w:r>
        <w:rPr>
          <w:rFonts w:hint="eastAsia" w:ascii="宋体" w:hAnsi="宋体" w:eastAsia="宋体" w:cs="Times New Roman"/>
          <w:sz w:val="28"/>
          <w:szCs w:val="28"/>
        </w:rPr>
        <w:t>技术资料</w:t>
      </w:r>
      <w:r>
        <w:rPr>
          <w:rFonts w:hint="eastAsia" w:ascii="宋体" w:hAnsi="宋体" w:cs="Times New Roman"/>
          <w:sz w:val="28"/>
          <w:szCs w:val="28"/>
          <w:lang w:eastAsia="zh-CN"/>
        </w:rPr>
        <w:t>；</w:t>
      </w:r>
    </w:p>
    <w:p>
      <w:pPr>
        <w:ind w:firstLine="560" w:firstLineChars="200"/>
        <w:rPr>
          <w:rFonts w:hint="eastAsia" w:ascii="宋体" w:hAnsi="宋体" w:eastAsia="宋体" w:cs="Times New Roman"/>
          <w:sz w:val="28"/>
          <w:szCs w:val="28"/>
          <w:lang w:eastAsia="zh-CN"/>
        </w:rPr>
      </w:pPr>
      <w:r>
        <w:rPr>
          <w:rFonts w:hint="eastAsia" w:ascii="宋体" w:hAnsi="宋体" w:cs="Times New Roman"/>
          <w:sz w:val="28"/>
          <w:szCs w:val="28"/>
          <w:lang w:val="en-US" w:eastAsia="zh-CN"/>
        </w:rPr>
        <w:t>6</w:t>
      </w:r>
      <w:r>
        <w:rPr>
          <w:rFonts w:hint="eastAsia" w:ascii="宋体" w:hAnsi="宋体" w:eastAsia="宋体" w:cs="Times New Roman"/>
          <w:sz w:val="28"/>
          <w:szCs w:val="28"/>
        </w:rPr>
        <w:t>、投标方认为应补充的其它技术资料</w:t>
      </w:r>
      <w:r>
        <w:rPr>
          <w:rFonts w:hint="eastAsia" w:ascii="宋体" w:hAnsi="宋体" w:cs="Times New Roman"/>
          <w:sz w:val="28"/>
          <w:szCs w:val="28"/>
          <w:lang w:eastAsia="zh-CN"/>
        </w:rPr>
        <w:t>；</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rPr>
          <w:rFonts w:ascii="宋体" w:hAnsi="宋体"/>
          <w:sz w:val="28"/>
          <w:szCs w:val="28"/>
        </w:rPr>
      </w:pPr>
      <w:r>
        <w:rPr>
          <w:rFonts w:hint="eastAsia" w:ascii="宋体" w:hAnsi="宋体"/>
          <w:sz w:val="28"/>
          <w:szCs w:val="28"/>
          <w:lang w:eastAsia="zh-CN"/>
        </w:rPr>
        <w:t>三</w:t>
      </w:r>
      <w:r>
        <w:rPr>
          <w:rFonts w:hint="eastAsia" w:ascii="宋体" w:hAnsi="宋体"/>
          <w:sz w:val="28"/>
          <w:szCs w:val="28"/>
        </w:rPr>
        <w:t>、投标报价要求</w:t>
      </w:r>
    </w:p>
    <w:p>
      <w:pPr>
        <w:ind w:firstLine="560" w:firstLineChars="200"/>
        <w:rPr>
          <w:rFonts w:ascii="宋体" w:hAnsi="宋体"/>
          <w:sz w:val="28"/>
          <w:szCs w:val="28"/>
        </w:rPr>
      </w:pPr>
      <w:r>
        <w:rPr>
          <w:rFonts w:hint="eastAsia" w:ascii="宋体" w:hAnsi="宋体"/>
          <w:sz w:val="28"/>
          <w:szCs w:val="28"/>
        </w:rPr>
        <w:t>1、</w:t>
      </w:r>
      <w:r>
        <w:rPr>
          <w:rFonts w:ascii="宋体" w:hAnsi="宋体"/>
          <w:sz w:val="28"/>
          <w:szCs w:val="28"/>
        </w:rPr>
        <w:t>投标报价方式：本次投标报价采用“固定总价”报价方式。投标人应充分考项目的规模、性质、市场风险和国家政策性调整风险系数以及招标人对本项目招标范围、工期、质量等的要求，并计入投标报价中。</w:t>
      </w:r>
    </w:p>
    <w:p>
      <w:pPr>
        <w:ind w:firstLine="560" w:firstLineChars="200"/>
        <w:rPr>
          <w:rFonts w:ascii="宋体" w:hAnsi="宋体"/>
          <w:sz w:val="28"/>
          <w:szCs w:val="28"/>
        </w:rPr>
      </w:pPr>
      <w:r>
        <w:rPr>
          <w:rFonts w:hint="eastAsia" w:ascii="宋体" w:hAnsi="宋体"/>
          <w:sz w:val="28"/>
          <w:szCs w:val="28"/>
        </w:rPr>
        <w:t>2、</w:t>
      </w:r>
      <w:r>
        <w:rPr>
          <w:rFonts w:ascii="宋体" w:hAnsi="宋体"/>
          <w:sz w:val="28"/>
          <w:szCs w:val="28"/>
        </w:rPr>
        <w:t>投标报价为完成本项目前期调研、设计及</w:t>
      </w:r>
      <w:r>
        <w:rPr>
          <w:rFonts w:hint="eastAsia" w:ascii="宋体" w:hAnsi="宋体"/>
          <w:sz w:val="28"/>
          <w:szCs w:val="28"/>
          <w:lang w:eastAsia="zh-CN"/>
        </w:rPr>
        <w:t>安装</w:t>
      </w:r>
      <w:r>
        <w:rPr>
          <w:rFonts w:ascii="宋体" w:hAnsi="宋体"/>
          <w:sz w:val="28"/>
          <w:szCs w:val="28"/>
        </w:rPr>
        <w:t>的总费用。包括但不仅限于人工费、材料费、机械费、管理费、利润、税金、规费等。同时还应充分考虑市场风险、国家政策性调整风险系数以及承担的义务、责任、风险等一切因素，并计入投标报价中。</w:t>
      </w:r>
    </w:p>
    <w:p>
      <w:pPr>
        <w:rPr>
          <w:rFonts w:hint="eastAsia" w:ascii="宋体" w:hAnsi="宋体"/>
          <w:sz w:val="28"/>
          <w:szCs w:val="28"/>
          <w:lang w:eastAsia="zh-CN"/>
        </w:rPr>
      </w:pPr>
    </w:p>
    <w:p>
      <w:pPr>
        <w:rPr>
          <w:rFonts w:ascii="宋体" w:hAnsi="宋体"/>
          <w:sz w:val="28"/>
          <w:szCs w:val="28"/>
        </w:rPr>
      </w:pPr>
      <w:r>
        <w:rPr>
          <w:rFonts w:hint="eastAsia" w:ascii="宋体" w:hAnsi="宋体"/>
          <w:sz w:val="28"/>
          <w:szCs w:val="28"/>
          <w:lang w:eastAsia="zh-CN"/>
        </w:rPr>
        <w:t>四</w:t>
      </w:r>
      <w:r>
        <w:rPr>
          <w:rFonts w:hint="eastAsia" w:ascii="宋体" w:hAnsi="宋体"/>
          <w:sz w:val="28"/>
          <w:szCs w:val="28"/>
        </w:rPr>
        <w:t>、本项目为招标人询价招标，请有意参加询价报价的人员请于截止时间前将报价文件按询价函要求递交，如所有投标报价均高于招标人的期望值，则招标人有权取消本次询价招标，并不承担投标人的任何投标费用。招标人将在函截止时间后的三个工作日内公布询价结果。</w:t>
      </w:r>
    </w:p>
    <w:p>
      <w:pPr>
        <w:rPr>
          <w:rFonts w:hint="eastAsia" w:ascii="宋体" w:hAnsi="宋体"/>
          <w:sz w:val="28"/>
          <w:szCs w:val="28"/>
          <w:lang w:eastAsia="zh-CN"/>
        </w:rPr>
      </w:pPr>
    </w:p>
    <w:p>
      <w:pPr>
        <w:rPr>
          <w:rFonts w:ascii="宋体" w:hAnsi="宋体"/>
          <w:sz w:val="28"/>
          <w:szCs w:val="28"/>
        </w:rPr>
      </w:pPr>
      <w:r>
        <w:rPr>
          <w:rFonts w:hint="eastAsia" w:ascii="宋体" w:hAnsi="宋体"/>
          <w:sz w:val="28"/>
          <w:szCs w:val="28"/>
          <w:lang w:eastAsia="zh-CN"/>
        </w:rPr>
        <w:t>五</w:t>
      </w:r>
      <w:r>
        <w:rPr>
          <w:rFonts w:hint="eastAsia" w:ascii="宋体" w:hAnsi="宋体"/>
          <w:sz w:val="28"/>
          <w:szCs w:val="28"/>
        </w:rPr>
        <w:t>、投标申请人如有违反《盐城市市场廉政准入规定（试行）》中规定情形的，将被取消投标（中标）资格。</w:t>
      </w:r>
    </w:p>
    <w:p>
      <w:pPr>
        <w:rPr>
          <w:rFonts w:hint="eastAsia" w:ascii="宋体" w:hAnsi="宋体"/>
          <w:sz w:val="32"/>
          <w:szCs w:val="32"/>
        </w:rPr>
      </w:pPr>
    </w:p>
    <w:tbl>
      <w:tblPr>
        <w:tblStyle w:val="7"/>
        <w:tblW w:w="9690" w:type="dxa"/>
        <w:tblInd w:w="-318" w:type="dxa"/>
        <w:tblLayout w:type="autofit"/>
        <w:tblCellMar>
          <w:top w:w="0" w:type="dxa"/>
          <w:left w:w="108" w:type="dxa"/>
          <w:bottom w:w="0" w:type="dxa"/>
          <w:right w:w="108" w:type="dxa"/>
        </w:tblCellMar>
      </w:tblPr>
      <w:tblGrid>
        <w:gridCol w:w="9690"/>
      </w:tblGrid>
      <w:tr>
        <w:trPr>
          <w:trHeight w:val="13540" w:hRule="atLeast"/>
        </w:trPr>
        <w:tc>
          <w:tcPr>
            <w:tcW w:w="9690" w:type="dxa"/>
            <w:tcBorders>
              <w:top w:val="nil"/>
              <w:left w:val="nil"/>
              <w:bottom w:val="nil"/>
              <w:right w:val="nil"/>
            </w:tcBorders>
            <w:noWrap/>
            <w:vAlign w:val="center"/>
          </w:tcPr>
          <w:p>
            <w:pPr>
              <w:tabs>
                <w:tab w:val="left" w:pos="790"/>
              </w:tabs>
              <w:spacing w:line="480" w:lineRule="exact"/>
              <w:rPr>
                <w:rFonts w:ascii="宋体" w:hAnsi="宋体"/>
                <w:b/>
                <w:sz w:val="24"/>
                <w:szCs w:val="24"/>
              </w:rPr>
            </w:pPr>
          </w:p>
          <w:p>
            <w:pPr>
              <w:spacing w:line="500" w:lineRule="exact"/>
              <w:rPr>
                <w:rFonts w:hint="eastAsia" w:ascii="宋体" w:hAnsi="宋体"/>
                <w:b/>
                <w:sz w:val="24"/>
                <w:szCs w:val="24"/>
              </w:rPr>
            </w:pPr>
            <w:r>
              <w:rPr>
                <w:rFonts w:hint="eastAsia" w:ascii="宋体" w:hAnsi="宋体"/>
                <w:b/>
                <w:sz w:val="24"/>
                <w:szCs w:val="24"/>
              </w:rPr>
              <w:t xml:space="preserve">        </w:t>
            </w:r>
          </w:p>
          <w:p>
            <w:pPr>
              <w:spacing w:line="500" w:lineRule="exact"/>
              <w:rPr>
                <w:rFonts w:ascii="宋体" w:hAnsi="宋体"/>
                <w:b/>
                <w:sz w:val="24"/>
                <w:szCs w:val="24"/>
              </w:rPr>
            </w:pPr>
          </w:p>
          <w:p>
            <w:pPr>
              <w:spacing w:line="800" w:lineRule="exact"/>
              <w:jc w:val="center"/>
              <w:rPr>
                <w:rFonts w:hint="eastAsia" w:ascii="微软雅黑" w:hAnsi="微软雅黑" w:eastAsia="微软雅黑"/>
                <w:b/>
                <w:bCs/>
                <w:sz w:val="52"/>
                <w:szCs w:val="52"/>
              </w:rPr>
            </w:pPr>
            <w:r>
              <w:rPr>
                <w:rFonts w:hint="eastAsia" w:ascii="微软雅黑" w:hAnsi="微软雅黑" w:eastAsia="微软雅黑"/>
                <w:b/>
                <w:bCs/>
                <w:sz w:val="52"/>
                <w:szCs w:val="52"/>
              </w:rPr>
              <w:t>国投新材料有限公司</w:t>
            </w:r>
          </w:p>
          <w:p>
            <w:pPr>
              <w:spacing w:line="800" w:lineRule="exact"/>
              <w:jc w:val="center"/>
              <w:rPr>
                <w:rFonts w:hint="eastAsia" w:ascii="微软雅黑" w:hAnsi="微软雅黑" w:eastAsia="微软雅黑"/>
                <w:b/>
                <w:bCs/>
                <w:sz w:val="52"/>
                <w:szCs w:val="52"/>
                <w:lang w:val="en-US" w:eastAsia="zh-CN"/>
              </w:rPr>
            </w:pPr>
            <w:r>
              <w:rPr>
                <w:rFonts w:hint="eastAsia" w:ascii="微软雅黑" w:hAnsi="微软雅黑" w:eastAsia="微软雅黑"/>
                <w:b/>
                <w:bCs/>
                <w:sz w:val="52"/>
                <w:szCs w:val="52"/>
                <w:lang w:val="en-US" w:eastAsia="zh-CN"/>
              </w:rPr>
              <w:t>智能金属导体电阻率测量仪</w:t>
            </w:r>
          </w:p>
          <w:p>
            <w:pPr>
              <w:spacing w:line="800" w:lineRule="exact"/>
              <w:jc w:val="center"/>
              <w:rPr>
                <w:rFonts w:hint="eastAsia" w:ascii="宋体" w:hAnsi="宋体" w:eastAsia="微软雅黑"/>
                <w:bCs/>
                <w:sz w:val="36"/>
                <w:szCs w:val="36"/>
                <w:lang w:eastAsia="zh-CN"/>
              </w:rPr>
            </w:pPr>
            <w:r>
              <w:rPr>
                <w:rFonts w:hint="eastAsia" w:ascii="微软雅黑" w:hAnsi="微软雅黑" w:eastAsia="微软雅黑"/>
                <w:b/>
                <w:bCs/>
                <w:sz w:val="52"/>
                <w:szCs w:val="52"/>
              </w:rPr>
              <w:t xml:space="preserve">报 价 </w:t>
            </w:r>
            <w:r>
              <w:rPr>
                <w:rFonts w:hint="eastAsia" w:ascii="微软雅黑" w:hAnsi="微软雅黑" w:eastAsia="微软雅黑"/>
                <w:b/>
                <w:bCs/>
                <w:sz w:val="52"/>
                <w:szCs w:val="52"/>
                <w:lang w:val="en-US" w:eastAsia="zh-CN"/>
              </w:rPr>
              <w:t>单</w:t>
            </w:r>
          </w:p>
          <w:p>
            <w:pPr>
              <w:spacing w:line="800" w:lineRule="exact"/>
              <w:jc w:val="center"/>
              <w:rPr>
                <w:rFonts w:ascii="宋体" w:hAnsi="宋体"/>
                <w:bCs/>
                <w:sz w:val="36"/>
                <w:szCs w:val="36"/>
              </w:rPr>
            </w:pPr>
          </w:p>
          <w:p>
            <w:pPr>
              <w:spacing w:line="600" w:lineRule="exact"/>
              <w:rPr>
                <w:rFonts w:ascii="宋体" w:hAnsi="宋体"/>
                <w:bCs/>
                <w:sz w:val="36"/>
                <w:szCs w:val="36"/>
              </w:rPr>
            </w:pPr>
          </w:p>
          <w:p>
            <w:pPr>
              <w:spacing w:line="600" w:lineRule="exact"/>
              <w:rPr>
                <w:rFonts w:ascii="宋体" w:hAnsi="宋体"/>
                <w:bCs/>
                <w:sz w:val="36"/>
                <w:szCs w:val="36"/>
              </w:rPr>
            </w:pPr>
          </w:p>
          <w:p>
            <w:pPr>
              <w:spacing w:line="600" w:lineRule="exact"/>
              <w:rPr>
                <w:rFonts w:ascii="宋体" w:hAnsi="宋体"/>
                <w:bCs/>
                <w:sz w:val="36"/>
                <w:szCs w:val="36"/>
              </w:rPr>
            </w:pPr>
          </w:p>
          <w:p>
            <w:pPr>
              <w:spacing w:line="600" w:lineRule="exact"/>
              <w:rPr>
                <w:rFonts w:ascii="宋体" w:hAnsi="宋体"/>
                <w:bCs/>
                <w:sz w:val="36"/>
                <w:szCs w:val="36"/>
              </w:rPr>
            </w:pPr>
          </w:p>
          <w:p>
            <w:pPr>
              <w:spacing w:line="600" w:lineRule="exact"/>
              <w:ind w:firstLine="1428" w:firstLineChars="395"/>
              <w:rPr>
                <w:rFonts w:ascii="宋体" w:hAnsi="宋体"/>
                <w:b/>
                <w:bCs/>
                <w:sz w:val="36"/>
                <w:szCs w:val="36"/>
              </w:rPr>
            </w:pPr>
            <w:r>
              <w:rPr>
                <w:rFonts w:hint="eastAsia" w:ascii="宋体" w:hAnsi="宋体"/>
                <w:b/>
                <w:bCs/>
                <w:sz w:val="36"/>
                <w:szCs w:val="36"/>
              </w:rPr>
              <w:t>投标人（公章）：</w:t>
            </w:r>
          </w:p>
          <w:p>
            <w:pPr>
              <w:spacing w:line="600" w:lineRule="exact"/>
              <w:rPr>
                <w:rFonts w:ascii="宋体" w:hAnsi="宋体"/>
                <w:b/>
                <w:bCs/>
                <w:sz w:val="36"/>
                <w:szCs w:val="36"/>
              </w:rPr>
            </w:pPr>
          </w:p>
          <w:p>
            <w:pPr>
              <w:spacing w:line="600" w:lineRule="exact"/>
              <w:ind w:firstLine="1428" w:firstLineChars="395"/>
              <w:rPr>
                <w:rFonts w:ascii="宋体" w:hAnsi="宋体"/>
                <w:b/>
                <w:bCs/>
                <w:sz w:val="36"/>
                <w:szCs w:val="36"/>
              </w:rPr>
            </w:pPr>
            <w:r>
              <w:rPr>
                <w:rFonts w:hint="eastAsia" w:ascii="宋体" w:hAnsi="宋体"/>
                <w:b/>
                <w:bCs/>
                <w:sz w:val="36"/>
                <w:szCs w:val="36"/>
              </w:rPr>
              <w:t>法定代表人</w:t>
            </w:r>
          </w:p>
          <w:p>
            <w:pPr>
              <w:spacing w:line="600" w:lineRule="exact"/>
              <w:ind w:firstLine="1428" w:firstLineChars="395"/>
              <w:rPr>
                <w:rFonts w:ascii="宋体" w:hAnsi="宋体"/>
                <w:b/>
                <w:bCs/>
                <w:sz w:val="36"/>
                <w:szCs w:val="36"/>
              </w:rPr>
            </w:pPr>
            <w:r>
              <w:rPr>
                <w:rFonts w:hint="eastAsia" w:ascii="宋体" w:hAnsi="宋体"/>
                <w:b/>
                <w:bCs/>
                <w:sz w:val="36"/>
                <w:szCs w:val="36"/>
              </w:rPr>
              <w:t>或授权委托人（签字或盖章）：</w:t>
            </w:r>
          </w:p>
          <w:p>
            <w:pPr>
              <w:spacing w:line="600" w:lineRule="exact"/>
              <w:rPr>
                <w:rFonts w:ascii="宋体" w:hAnsi="宋体"/>
                <w:b/>
                <w:bCs/>
                <w:sz w:val="36"/>
                <w:szCs w:val="36"/>
              </w:rPr>
            </w:pPr>
          </w:p>
          <w:p>
            <w:pPr>
              <w:spacing w:line="600" w:lineRule="exact"/>
              <w:ind w:firstLine="2331" w:firstLineChars="645"/>
              <w:rPr>
                <w:rFonts w:ascii="宋体" w:hAnsi="宋体"/>
                <w:b/>
                <w:bCs/>
                <w:sz w:val="36"/>
                <w:szCs w:val="36"/>
              </w:rPr>
            </w:pPr>
            <w:r>
              <w:rPr>
                <w:rFonts w:hint="eastAsia" w:ascii="宋体" w:hAnsi="宋体"/>
                <w:b/>
                <w:bCs/>
                <w:sz w:val="36"/>
                <w:szCs w:val="36"/>
              </w:rPr>
              <w:t>二O二</w:t>
            </w:r>
            <w:r>
              <w:rPr>
                <w:rFonts w:hint="eastAsia" w:ascii="宋体" w:hAnsi="宋体"/>
                <w:b/>
                <w:bCs/>
                <w:sz w:val="36"/>
                <w:szCs w:val="36"/>
                <w:lang w:eastAsia="zh-CN"/>
              </w:rPr>
              <w:t>二</w:t>
            </w:r>
            <w:r>
              <w:rPr>
                <w:rFonts w:hint="eastAsia" w:ascii="宋体" w:hAnsi="宋体"/>
                <w:b/>
                <w:bCs/>
                <w:sz w:val="36"/>
                <w:szCs w:val="36"/>
              </w:rPr>
              <w:t>年   月   日</w:t>
            </w:r>
          </w:p>
          <w:p>
            <w:pPr>
              <w:spacing w:line="600" w:lineRule="exact"/>
              <w:jc w:val="center"/>
              <w:rPr>
                <w:rFonts w:ascii="宋体" w:hAnsi="宋体"/>
                <w:b/>
                <w:bCs/>
                <w:sz w:val="36"/>
                <w:szCs w:val="36"/>
              </w:rPr>
            </w:pPr>
          </w:p>
          <w:p>
            <w:pPr>
              <w:spacing w:line="600" w:lineRule="exact"/>
              <w:jc w:val="center"/>
              <w:rPr>
                <w:rFonts w:ascii="宋体" w:hAnsi="宋体"/>
                <w:b/>
                <w:bCs/>
                <w:sz w:val="36"/>
                <w:szCs w:val="36"/>
              </w:rPr>
            </w:pPr>
          </w:p>
          <w:p>
            <w:pPr>
              <w:spacing w:line="600" w:lineRule="exact"/>
              <w:jc w:val="center"/>
              <w:rPr>
                <w:rFonts w:ascii="宋体" w:hAnsi="宋体"/>
                <w:b/>
                <w:bCs/>
                <w:sz w:val="36"/>
                <w:szCs w:val="36"/>
              </w:rPr>
            </w:pPr>
            <w:r>
              <w:rPr>
                <w:rFonts w:ascii="宋体" w:hAnsi="宋体"/>
                <w:b/>
                <w:bCs/>
                <w:sz w:val="36"/>
                <w:szCs w:val="36"/>
              </w:rPr>
              <w:br w:type="page"/>
            </w:r>
          </w:p>
          <w:p>
            <w:pPr>
              <w:spacing w:line="600" w:lineRule="exact"/>
              <w:jc w:val="left"/>
              <w:rPr>
                <w:rFonts w:ascii="宋体" w:hAnsi="宋体"/>
                <w:sz w:val="24"/>
                <w:szCs w:val="24"/>
              </w:rPr>
            </w:pPr>
            <w:r>
              <w:rPr>
                <w:rFonts w:hint="eastAsia" w:ascii="宋体" w:hAnsi="宋体"/>
                <w:sz w:val="24"/>
                <w:szCs w:val="24"/>
              </w:rPr>
              <w:t>附件1</w:t>
            </w:r>
          </w:p>
          <w:p>
            <w:pPr>
              <w:spacing w:line="600" w:lineRule="exact"/>
              <w:jc w:val="left"/>
              <w:rPr>
                <w:rFonts w:ascii="宋体" w:hAnsi="宋体"/>
                <w:sz w:val="24"/>
                <w:szCs w:val="24"/>
              </w:rPr>
            </w:pPr>
          </w:p>
          <w:p>
            <w:pPr>
              <w:spacing w:line="600" w:lineRule="exact"/>
              <w:jc w:val="center"/>
              <w:rPr>
                <w:rFonts w:hint="eastAsia" w:ascii="宋体" w:hAnsi="宋体"/>
                <w:b/>
                <w:sz w:val="24"/>
                <w:szCs w:val="24"/>
              </w:rPr>
            </w:pPr>
          </w:p>
          <w:p>
            <w:pPr>
              <w:spacing w:line="600" w:lineRule="exact"/>
              <w:jc w:val="center"/>
              <w:rPr>
                <w:rFonts w:hint="eastAsia" w:ascii="宋体" w:hAnsi="宋体"/>
                <w:b/>
                <w:sz w:val="24"/>
                <w:szCs w:val="24"/>
              </w:rPr>
            </w:pPr>
          </w:p>
          <w:p>
            <w:pPr>
              <w:spacing w:line="600" w:lineRule="exact"/>
              <w:jc w:val="center"/>
              <w:rPr>
                <w:rFonts w:ascii="宋体" w:hAnsi="宋体"/>
                <w:b/>
                <w:sz w:val="24"/>
                <w:szCs w:val="24"/>
              </w:rPr>
            </w:pPr>
            <w:r>
              <w:rPr>
                <w:rFonts w:hint="eastAsia" w:ascii="宋体" w:hAnsi="宋体"/>
                <w:b/>
                <w:sz w:val="24"/>
                <w:szCs w:val="24"/>
              </w:rPr>
              <w:t>授权委托书</w:t>
            </w:r>
          </w:p>
          <w:p>
            <w:pPr>
              <w:spacing w:line="540" w:lineRule="exact"/>
              <w:rPr>
                <w:rFonts w:ascii="宋体" w:hAnsi="宋体"/>
                <w:sz w:val="24"/>
                <w:szCs w:val="24"/>
              </w:rPr>
            </w:pPr>
          </w:p>
          <w:p>
            <w:pPr>
              <w:spacing w:line="560" w:lineRule="exact"/>
              <w:ind w:firstLine="480" w:firstLineChars="200"/>
              <w:jc w:val="left"/>
              <w:rPr>
                <w:rFonts w:ascii="宋体" w:hAnsi="宋体"/>
                <w:sz w:val="24"/>
                <w:szCs w:val="24"/>
              </w:rPr>
            </w:pPr>
            <w:r>
              <w:rPr>
                <w:rFonts w:hint="eastAsia" w:ascii="宋体" w:hAnsi="宋体"/>
                <w:sz w:val="24"/>
                <w:szCs w:val="24"/>
              </w:rPr>
              <w:t>本授权委托书声明：我系的法定代表人，现授权委托我公司的</w:t>
            </w:r>
            <w:r>
              <w:rPr>
                <w:rFonts w:hint="eastAsia" w:ascii="宋体" w:hAnsi="宋体"/>
                <w:sz w:val="24"/>
                <w:szCs w:val="24"/>
                <w:u w:val="single"/>
              </w:rPr>
              <w:t xml:space="preserve">       </w:t>
            </w:r>
            <w:r>
              <w:rPr>
                <w:rFonts w:hint="eastAsia" w:ascii="宋体" w:hAnsi="宋体"/>
                <w:sz w:val="24"/>
                <w:szCs w:val="24"/>
              </w:rPr>
              <w:t>为我公司代理人，以本公司的名义参加</w:t>
            </w:r>
            <w:r>
              <w:rPr>
                <w:rFonts w:hint="eastAsia" w:ascii="宋体" w:hAnsi="宋体"/>
                <w:sz w:val="24"/>
                <w:szCs w:val="24"/>
                <w:u w:val="single"/>
                <w:lang w:val="en-US" w:eastAsia="zh-CN"/>
              </w:rPr>
              <w:t xml:space="preserve">                     </w:t>
            </w:r>
            <w:r>
              <w:rPr>
                <w:rFonts w:hint="eastAsia" w:ascii="宋体" w:hAnsi="宋体"/>
                <w:sz w:val="24"/>
                <w:szCs w:val="24"/>
              </w:rPr>
              <w:t>的投标活动。代理人在询价及合同洽谈过程中所签署的一切文件和处理与之有关的一切事务，我均予以承认。</w:t>
            </w:r>
          </w:p>
          <w:p>
            <w:pPr>
              <w:spacing w:line="560" w:lineRule="exact"/>
              <w:ind w:firstLine="480" w:firstLineChars="200"/>
              <w:rPr>
                <w:rFonts w:ascii="宋体" w:hAnsi="宋体"/>
                <w:sz w:val="24"/>
                <w:szCs w:val="24"/>
              </w:rPr>
            </w:pPr>
          </w:p>
          <w:p>
            <w:pPr>
              <w:spacing w:line="560" w:lineRule="exact"/>
              <w:ind w:firstLine="480" w:firstLineChars="200"/>
              <w:rPr>
                <w:rFonts w:ascii="宋体" w:hAnsi="宋体"/>
                <w:sz w:val="24"/>
                <w:szCs w:val="24"/>
              </w:rPr>
            </w:pPr>
            <w:r>
              <w:rPr>
                <w:rFonts w:hint="eastAsia" w:ascii="宋体" w:hAnsi="宋体"/>
                <w:sz w:val="24"/>
                <w:szCs w:val="24"/>
              </w:rPr>
              <w:t>代理人：</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rPr>
              <w:t>性别：</w:t>
            </w:r>
            <w:r>
              <w:rPr>
                <w:rFonts w:hint="eastAsia" w:ascii="宋体" w:hAnsi="宋体"/>
                <w:sz w:val="24"/>
                <w:szCs w:val="24"/>
                <w:u w:val="single"/>
              </w:rPr>
              <w:t xml:space="preserve">   </w:t>
            </w:r>
          </w:p>
          <w:p>
            <w:pPr>
              <w:spacing w:line="560" w:lineRule="exact"/>
              <w:ind w:firstLine="480" w:firstLineChars="200"/>
              <w:rPr>
                <w:rFonts w:ascii="宋体" w:hAnsi="宋体"/>
                <w:sz w:val="24"/>
                <w:szCs w:val="24"/>
              </w:rPr>
            </w:pPr>
            <w:r>
              <w:rPr>
                <w:rFonts w:hint="eastAsia" w:ascii="宋体" w:hAnsi="宋体"/>
                <w:sz w:val="24"/>
                <w:szCs w:val="24"/>
              </w:rPr>
              <w:t>有效身份证件号码：</w:t>
            </w:r>
            <w:r>
              <w:rPr>
                <w:rFonts w:hint="eastAsia" w:ascii="宋体" w:hAnsi="宋体"/>
                <w:sz w:val="24"/>
                <w:szCs w:val="24"/>
                <w:u w:val="single"/>
              </w:rPr>
              <w:t xml:space="preserve">                </w:t>
            </w:r>
            <w:r>
              <w:rPr>
                <w:rFonts w:hint="eastAsia" w:ascii="宋体" w:hAnsi="宋体"/>
                <w:sz w:val="24"/>
                <w:szCs w:val="24"/>
                <w:u w:val="single"/>
              </w:rPr>
              <w:tab/>
            </w:r>
          </w:p>
          <w:p>
            <w:pPr>
              <w:spacing w:line="560" w:lineRule="exact"/>
              <w:ind w:firstLine="480" w:firstLineChars="200"/>
              <w:rPr>
                <w:rFonts w:ascii="宋体" w:hAnsi="宋体"/>
                <w:sz w:val="24"/>
                <w:szCs w:val="24"/>
              </w:rPr>
            </w:pPr>
            <w:r>
              <w:rPr>
                <w:rFonts w:hint="eastAsia" w:ascii="宋体" w:hAnsi="宋体"/>
                <w:sz w:val="24"/>
                <w:szCs w:val="24"/>
              </w:rPr>
              <w:t>联系电话：</w:t>
            </w:r>
            <w:r>
              <w:rPr>
                <w:rFonts w:hint="eastAsia" w:ascii="宋体" w:hAnsi="宋体"/>
                <w:sz w:val="24"/>
                <w:szCs w:val="24"/>
                <w:u w:val="single"/>
              </w:rPr>
              <w:t xml:space="preserve">                   </w:t>
            </w:r>
          </w:p>
          <w:p>
            <w:pPr>
              <w:spacing w:line="560" w:lineRule="exact"/>
              <w:ind w:firstLine="480" w:firstLineChars="200"/>
              <w:rPr>
                <w:rFonts w:ascii="宋体" w:hAnsi="宋体"/>
                <w:sz w:val="24"/>
                <w:szCs w:val="24"/>
              </w:rPr>
            </w:pPr>
            <w:r>
              <w:rPr>
                <w:rFonts w:hint="eastAsia" w:ascii="宋体" w:hAnsi="宋体"/>
                <w:sz w:val="24"/>
                <w:szCs w:val="24"/>
              </w:rPr>
              <w:t>代理人无转委权。特此委托。</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投标人（公章）</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法定代表人（签字或盖章）</w:t>
            </w:r>
          </w:p>
          <w:p>
            <w:pPr>
              <w:spacing w:line="560" w:lineRule="exact"/>
              <w:rPr>
                <w:rFonts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p>
          <w:p>
            <w:pPr>
              <w:spacing w:line="560" w:lineRule="exact"/>
              <w:ind w:left="3780" w:leftChars="1800" w:firstLine="360" w:firstLineChars="150"/>
              <w:rPr>
                <w:rFonts w:ascii="宋体" w:hAnsi="宋体"/>
                <w:sz w:val="24"/>
                <w:szCs w:val="24"/>
              </w:rPr>
            </w:pPr>
            <w:r>
              <w:rPr>
                <w:rFonts w:hint="eastAsia" w:ascii="宋体" w:hAnsi="宋体"/>
                <w:sz w:val="24"/>
                <w:szCs w:val="24"/>
              </w:rPr>
              <w:t>二O二</w:t>
            </w:r>
            <w:r>
              <w:rPr>
                <w:rFonts w:hint="eastAsia" w:ascii="宋体" w:hAnsi="宋体"/>
                <w:sz w:val="24"/>
                <w:szCs w:val="24"/>
                <w:lang w:eastAsia="zh-CN"/>
              </w:rPr>
              <w:t>二</w:t>
            </w:r>
            <w:r>
              <w:rPr>
                <w:rFonts w:hint="eastAsia" w:ascii="宋体" w:hAnsi="宋体"/>
                <w:sz w:val="24"/>
                <w:szCs w:val="24"/>
              </w:rPr>
              <w:t>年    月   日</w:t>
            </w: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adjustRightInd w:val="0"/>
              <w:spacing w:line="410" w:lineRule="atLeast"/>
              <w:jc w:val="left"/>
              <w:rPr>
                <w:rFonts w:ascii="宋体" w:hAnsi="宋体" w:cs="宋体"/>
                <w:kern w:val="0"/>
                <w:sz w:val="24"/>
                <w:szCs w:val="24"/>
              </w:rPr>
            </w:pPr>
            <w:r>
              <w:rPr>
                <w:rFonts w:ascii="宋体" w:hAnsi="宋体"/>
                <w:sz w:val="24"/>
                <w:szCs w:val="24"/>
              </w:rPr>
              <w:br w:type="page"/>
            </w:r>
            <w:r>
              <w:rPr>
                <w:rFonts w:hint="eastAsia" w:ascii="宋体" w:hAnsi="宋体"/>
                <w:sz w:val="24"/>
                <w:szCs w:val="24"/>
              </w:rPr>
              <w:t>附件2</w:t>
            </w:r>
            <w:r>
              <w:rPr>
                <w:rFonts w:hint="eastAsia" w:ascii="宋体" w:hAnsi="宋体" w:cs="宋体"/>
                <w:b/>
                <w:bCs/>
                <w:kern w:val="0"/>
                <w:sz w:val="24"/>
                <w:szCs w:val="24"/>
              </w:rPr>
              <w:t> </w:t>
            </w:r>
          </w:p>
        </w:tc>
      </w:tr>
    </w:tbl>
    <w:p>
      <w:pPr>
        <w:rPr>
          <w:rFonts w:ascii="宋体"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A866F"/>
    <w:multiLevelType w:val="singleLevel"/>
    <w:tmpl w:val="C4EA866F"/>
    <w:lvl w:ilvl="0" w:tentative="0">
      <w:start w:val="2"/>
      <w:numFmt w:val="chineseCounting"/>
      <w:suff w:val="nothing"/>
      <w:lvlText w:val="（%1）"/>
      <w:lvlJc w:val="left"/>
      <w:pPr>
        <w:ind w:left="4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MzhjYjNkMzcxYmU5ODY3NDI2NzIxYmJhMmMyZGMifQ=="/>
  </w:docVars>
  <w:rsids>
    <w:rsidRoot w:val="00074EA6"/>
    <w:rsid w:val="000522C7"/>
    <w:rsid w:val="000608E7"/>
    <w:rsid w:val="00074EA6"/>
    <w:rsid w:val="000C4D01"/>
    <w:rsid w:val="00116BE0"/>
    <w:rsid w:val="00147AC7"/>
    <w:rsid w:val="001D716C"/>
    <w:rsid w:val="001F54A5"/>
    <w:rsid w:val="002A2875"/>
    <w:rsid w:val="002C0F57"/>
    <w:rsid w:val="002D4399"/>
    <w:rsid w:val="002F3A4E"/>
    <w:rsid w:val="003D4E94"/>
    <w:rsid w:val="0042365B"/>
    <w:rsid w:val="00447221"/>
    <w:rsid w:val="00536B67"/>
    <w:rsid w:val="005D3D8E"/>
    <w:rsid w:val="0067154D"/>
    <w:rsid w:val="006E1D4A"/>
    <w:rsid w:val="0073579E"/>
    <w:rsid w:val="007873B1"/>
    <w:rsid w:val="00811BA6"/>
    <w:rsid w:val="008A622B"/>
    <w:rsid w:val="009923FA"/>
    <w:rsid w:val="009E711A"/>
    <w:rsid w:val="00AA6802"/>
    <w:rsid w:val="00AC58D8"/>
    <w:rsid w:val="00B15D2C"/>
    <w:rsid w:val="00D471C4"/>
    <w:rsid w:val="00DB7489"/>
    <w:rsid w:val="00F62DF7"/>
    <w:rsid w:val="00F94269"/>
    <w:rsid w:val="00FA7E8F"/>
    <w:rsid w:val="01462211"/>
    <w:rsid w:val="02AF27DB"/>
    <w:rsid w:val="02C52F86"/>
    <w:rsid w:val="03420ED4"/>
    <w:rsid w:val="04A50D75"/>
    <w:rsid w:val="05E201DB"/>
    <w:rsid w:val="06456265"/>
    <w:rsid w:val="06807F27"/>
    <w:rsid w:val="0733330B"/>
    <w:rsid w:val="07890A8B"/>
    <w:rsid w:val="078F277D"/>
    <w:rsid w:val="082C5D12"/>
    <w:rsid w:val="09A1496F"/>
    <w:rsid w:val="0A5362E3"/>
    <w:rsid w:val="0C2377D4"/>
    <w:rsid w:val="0C346B5F"/>
    <w:rsid w:val="0DEF71E2"/>
    <w:rsid w:val="0E515F49"/>
    <w:rsid w:val="0E794CFD"/>
    <w:rsid w:val="0F3F73F8"/>
    <w:rsid w:val="105570A4"/>
    <w:rsid w:val="10CC1A52"/>
    <w:rsid w:val="121A40E2"/>
    <w:rsid w:val="138E4DA7"/>
    <w:rsid w:val="14C73076"/>
    <w:rsid w:val="1547526D"/>
    <w:rsid w:val="16340E6B"/>
    <w:rsid w:val="17957219"/>
    <w:rsid w:val="19370566"/>
    <w:rsid w:val="1A2D65E1"/>
    <w:rsid w:val="1C6074FD"/>
    <w:rsid w:val="1CE75FEF"/>
    <w:rsid w:val="1DB16262"/>
    <w:rsid w:val="1E2B7AB1"/>
    <w:rsid w:val="1E8D0B36"/>
    <w:rsid w:val="1EE75CB3"/>
    <w:rsid w:val="20803440"/>
    <w:rsid w:val="21B16C1F"/>
    <w:rsid w:val="22B750A8"/>
    <w:rsid w:val="22DA10B9"/>
    <w:rsid w:val="230802A3"/>
    <w:rsid w:val="23084265"/>
    <w:rsid w:val="24353ADE"/>
    <w:rsid w:val="24967F5F"/>
    <w:rsid w:val="26061115"/>
    <w:rsid w:val="27DB023A"/>
    <w:rsid w:val="282A2D36"/>
    <w:rsid w:val="2A756A5F"/>
    <w:rsid w:val="2BBC6CB9"/>
    <w:rsid w:val="2CED72D0"/>
    <w:rsid w:val="2F3A425D"/>
    <w:rsid w:val="30813C88"/>
    <w:rsid w:val="30CB2D3F"/>
    <w:rsid w:val="351C1EC4"/>
    <w:rsid w:val="399F04D5"/>
    <w:rsid w:val="3B371501"/>
    <w:rsid w:val="3E9F03AD"/>
    <w:rsid w:val="3F2104C1"/>
    <w:rsid w:val="40210F19"/>
    <w:rsid w:val="40970E8F"/>
    <w:rsid w:val="42EF72F0"/>
    <w:rsid w:val="42F55256"/>
    <w:rsid w:val="4598760A"/>
    <w:rsid w:val="45C03920"/>
    <w:rsid w:val="47C31DA8"/>
    <w:rsid w:val="48C93325"/>
    <w:rsid w:val="49831543"/>
    <w:rsid w:val="4A29004F"/>
    <w:rsid w:val="4B885FA4"/>
    <w:rsid w:val="4D1633ED"/>
    <w:rsid w:val="4F2C1C19"/>
    <w:rsid w:val="532145E9"/>
    <w:rsid w:val="533D2B81"/>
    <w:rsid w:val="54331F58"/>
    <w:rsid w:val="54C65E90"/>
    <w:rsid w:val="55AB487B"/>
    <w:rsid w:val="57B616B8"/>
    <w:rsid w:val="5A7A1B0D"/>
    <w:rsid w:val="5A9620CB"/>
    <w:rsid w:val="5AA82B94"/>
    <w:rsid w:val="5B5324BD"/>
    <w:rsid w:val="5B6D26CC"/>
    <w:rsid w:val="5E930A90"/>
    <w:rsid w:val="621C0D9D"/>
    <w:rsid w:val="62B47227"/>
    <w:rsid w:val="6416019A"/>
    <w:rsid w:val="64747B25"/>
    <w:rsid w:val="66B07193"/>
    <w:rsid w:val="67437ED2"/>
    <w:rsid w:val="675A385C"/>
    <w:rsid w:val="69B27ED3"/>
    <w:rsid w:val="6A391FFD"/>
    <w:rsid w:val="6B1B42E7"/>
    <w:rsid w:val="6BFD639F"/>
    <w:rsid w:val="6DB12CE1"/>
    <w:rsid w:val="6EE93219"/>
    <w:rsid w:val="6F041872"/>
    <w:rsid w:val="71F03A64"/>
    <w:rsid w:val="735200BA"/>
    <w:rsid w:val="753D4E5A"/>
    <w:rsid w:val="76A65C68"/>
    <w:rsid w:val="772B7660"/>
    <w:rsid w:val="791D0970"/>
    <w:rsid w:val="79C428B2"/>
    <w:rsid w:val="79CC678C"/>
    <w:rsid w:val="7B7E4B3E"/>
    <w:rsid w:val="7D731D61"/>
    <w:rsid w:val="7DB44A48"/>
    <w:rsid w:val="7F4C28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0"/>
    <w:pPr>
      <w:ind w:left="100" w:leftChars="2500"/>
    </w:pPr>
    <w:rPr>
      <w:rFonts w:ascii="Times New Roman" w:hAnsi="Times New Roman"/>
      <w:sz w:val="28"/>
      <w:szCs w:val="2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000FF"/>
      <w:u w:val="single"/>
    </w:rPr>
  </w:style>
  <w:style w:type="character" w:customStyle="1" w:styleId="11">
    <w:name w:val="标题 1 Char"/>
    <w:link w:val="2"/>
    <w:qFormat/>
    <w:uiPriority w:val="9"/>
    <w:rPr>
      <w:rFonts w:ascii="宋体" w:hAnsi="宋体" w:eastAsia="宋体" w:cs="宋体"/>
      <w:b/>
      <w:bCs/>
      <w:kern w:val="36"/>
      <w:sz w:val="48"/>
      <w:szCs w:val="48"/>
    </w:rPr>
  </w:style>
  <w:style w:type="character" w:customStyle="1" w:styleId="12">
    <w:name w:val="日期 Char"/>
    <w:link w:val="3"/>
    <w:qFormat/>
    <w:uiPriority w:val="0"/>
    <w:rPr>
      <w:rFonts w:ascii="Times New Roman" w:hAnsi="Times New Roman"/>
      <w:kern w:val="2"/>
      <w:sz w:val="28"/>
      <w:szCs w:val="28"/>
    </w:r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apple-converted-space"/>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1593</Words>
  <Characters>1892</Characters>
  <Lines>14</Lines>
  <Paragraphs>4</Paragraphs>
  <TotalTime>25</TotalTime>
  <ScaleCrop>false</ScaleCrop>
  <LinksUpToDate>false</LinksUpToDate>
  <CharactersWithSpaces>2037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2020-05-28T02:32:00Z</dcterms:created>
  <dc:creator>Administrator</dc:creator>
  <cp:lastModifiedBy>水墨丹青</cp:lastModifiedBy>
  <cp:lastPrinted>2022-05-24T03:02:00Z</cp:lastPrinted>
  <dcterms:modified xsi:type="dcterms:W3CDTF">2022-09-26T06:34:33Z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4D3CE9F448634F7F8A37085DB8985170</vt:lpwstr>
  </property>
</Properties>
</file>